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10B88">
      <w:pPr>
        <w:spacing w:line="578" w:lineRule="exac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14:paraId="3E00559F">
      <w:pPr>
        <w:spacing w:line="578" w:lineRule="exact"/>
        <w:jc w:val="center"/>
        <w:rPr>
          <w:rFonts w:ascii="方正小标宋简体" w:hAnsi="方正小标宋简体" w:eastAsia="方正小标宋简体" w:cs="方正小标宋简体"/>
          <w:color w:val="auto"/>
          <w:sz w:val="44"/>
          <w:szCs w:val="44"/>
          <w:highlight w:val="none"/>
        </w:rPr>
      </w:pPr>
    </w:p>
    <w:p w14:paraId="75D588B7">
      <w:pPr>
        <w:spacing w:line="578" w:lineRule="exact"/>
        <w:jc w:val="center"/>
        <w:outlineLvl w:val="0"/>
        <w:rPr>
          <w:rFonts w:hint="default" w:cs="方正小标宋简体" w:asciiTheme="majorEastAsia" w:hAnsiTheme="majorEastAsia" w:eastAsiaTheme="majorEastAsia"/>
          <w:b/>
          <w:bCs/>
          <w:color w:val="auto"/>
          <w:sz w:val="44"/>
          <w:szCs w:val="44"/>
          <w:highlight w:val="none"/>
          <w:lang w:val="en-US" w:eastAsia="zh-CN"/>
        </w:rPr>
      </w:pPr>
      <w:r>
        <w:rPr>
          <w:rFonts w:hint="eastAsia" w:cs="方正小标宋简体" w:asciiTheme="majorEastAsia" w:hAnsiTheme="majorEastAsia" w:eastAsiaTheme="majorEastAsia"/>
          <w:b/>
          <w:bCs/>
          <w:color w:val="auto"/>
          <w:sz w:val="44"/>
          <w:szCs w:val="44"/>
          <w:highlight w:val="none"/>
          <w:lang w:val="en-US" w:eastAsia="zh-CN"/>
        </w:rPr>
        <w:t>海口市金融控股集团有限公司</w:t>
      </w:r>
    </w:p>
    <w:p w14:paraId="1D5DAA74">
      <w:pPr>
        <w:spacing w:line="578" w:lineRule="exact"/>
        <w:jc w:val="center"/>
        <w:outlineLvl w:val="0"/>
        <w:rPr>
          <w:rFonts w:hint="eastAsia" w:cs="方正小标宋简体" w:asciiTheme="majorEastAsia" w:hAnsiTheme="majorEastAsia" w:eastAsiaTheme="majorEastAsia"/>
          <w:b/>
          <w:bCs/>
          <w:color w:val="auto"/>
          <w:sz w:val="44"/>
          <w:szCs w:val="44"/>
          <w:highlight w:val="none"/>
          <w:u w:val="none"/>
        </w:rPr>
      </w:pPr>
      <w:bookmarkStart w:id="0" w:name="_Toc3620"/>
      <w:bookmarkStart w:id="1" w:name="_Toc23484"/>
      <w:bookmarkStart w:id="2" w:name="_Toc20291"/>
      <w:r>
        <w:rPr>
          <w:rFonts w:hint="eastAsia" w:cs="方正小标宋简体" w:asciiTheme="majorEastAsia" w:hAnsiTheme="majorEastAsia" w:eastAsiaTheme="majorEastAsia"/>
          <w:b/>
          <w:bCs/>
          <w:color w:val="auto"/>
          <w:sz w:val="44"/>
          <w:szCs w:val="44"/>
          <w:highlight w:val="none"/>
          <w:u w:val="none"/>
          <w:lang w:val="en-US" w:eastAsia="zh-CN"/>
        </w:rPr>
        <w:t>非公开发行债券法律</w:t>
      </w:r>
      <w:r>
        <w:rPr>
          <w:rFonts w:hint="eastAsia" w:cs="方正小标宋简体" w:asciiTheme="majorEastAsia" w:hAnsiTheme="majorEastAsia" w:eastAsiaTheme="majorEastAsia"/>
          <w:b/>
          <w:bCs/>
          <w:color w:val="auto"/>
          <w:sz w:val="44"/>
          <w:szCs w:val="44"/>
          <w:highlight w:val="none"/>
          <w:u w:val="none"/>
        </w:rPr>
        <w:t>服务采购项目</w:t>
      </w:r>
      <w:bookmarkEnd w:id="0"/>
      <w:bookmarkEnd w:id="1"/>
      <w:bookmarkEnd w:id="2"/>
    </w:p>
    <w:p w14:paraId="46A5FC44">
      <w:pPr>
        <w:spacing w:line="578" w:lineRule="exact"/>
        <w:jc w:val="center"/>
        <w:rPr>
          <w:rFonts w:hint="eastAsia" w:cs="方正小标宋简体" w:asciiTheme="majorEastAsia" w:hAnsiTheme="majorEastAsia" w:eastAsiaTheme="majorEastAsia"/>
          <w:b/>
          <w:bCs/>
          <w:color w:val="auto"/>
          <w:sz w:val="44"/>
          <w:szCs w:val="44"/>
          <w:highlight w:val="none"/>
        </w:rPr>
      </w:pPr>
    </w:p>
    <w:p w14:paraId="23DC8960">
      <w:pPr>
        <w:spacing w:line="578" w:lineRule="exact"/>
        <w:jc w:val="center"/>
        <w:rPr>
          <w:rFonts w:hint="eastAsia" w:cs="方正小标宋简体" w:asciiTheme="majorEastAsia" w:hAnsiTheme="majorEastAsia" w:eastAsiaTheme="majorEastAsia"/>
          <w:b/>
          <w:bCs/>
          <w:color w:val="auto"/>
          <w:sz w:val="44"/>
          <w:szCs w:val="44"/>
          <w:highlight w:val="none"/>
        </w:rPr>
      </w:pPr>
    </w:p>
    <w:p w14:paraId="6B9A70CC">
      <w:pPr>
        <w:spacing w:line="578" w:lineRule="exact"/>
        <w:jc w:val="center"/>
        <w:rPr>
          <w:rFonts w:hint="eastAsia" w:cs="方正小标宋简体" w:asciiTheme="majorEastAsia" w:hAnsiTheme="majorEastAsia" w:eastAsiaTheme="majorEastAsia"/>
          <w:b/>
          <w:bCs/>
          <w:color w:val="auto"/>
          <w:sz w:val="44"/>
          <w:szCs w:val="44"/>
          <w:highlight w:val="none"/>
        </w:rPr>
      </w:pPr>
    </w:p>
    <w:p w14:paraId="1162B4BE">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eastAsia" w:cs="方正小标宋简体" w:asciiTheme="majorEastAsia" w:hAnsiTheme="majorEastAsia" w:eastAsiaTheme="majorEastAsia"/>
          <w:b/>
          <w:bCs/>
          <w:color w:val="auto"/>
          <w:sz w:val="84"/>
          <w:szCs w:val="84"/>
          <w:highlight w:val="none"/>
        </w:rPr>
      </w:pPr>
      <w:bookmarkStart w:id="3" w:name="_Toc18488"/>
      <w:bookmarkStart w:id="4" w:name="_Toc28255"/>
      <w:bookmarkStart w:id="5" w:name="_Toc28748"/>
      <w:r>
        <w:rPr>
          <w:rFonts w:hint="eastAsia" w:cs="方正小标宋简体" w:asciiTheme="majorEastAsia" w:hAnsiTheme="majorEastAsia" w:eastAsiaTheme="majorEastAsia"/>
          <w:b/>
          <w:bCs/>
          <w:color w:val="auto"/>
          <w:sz w:val="84"/>
          <w:szCs w:val="84"/>
          <w:highlight w:val="none"/>
        </w:rPr>
        <w:t>比</w:t>
      </w:r>
      <w:bookmarkEnd w:id="3"/>
      <w:bookmarkEnd w:id="4"/>
      <w:bookmarkEnd w:id="5"/>
    </w:p>
    <w:p w14:paraId="2729C042">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eastAsia" w:cs="方正小标宋简体" w:asciiTheme="majorEastAsia" w:hAnsiTheme="majorEastAsia" w:eastAsiaTheme="majorEastAsia"/>
          <w:b/>
          <w:bCs/>
          <w:color w:val="auto"/>
          <w:sz w:val="84"/>
          <w:szCs w:val="84"/>
          <w:highlight w:val="none"/>
        </w:rPr>
      </w:pPr>
      <w:bookmarkStart w:id="6" w:name="_Toc22323"/>
      <w:bookmarkStart w:id="7" w:name="_Toc13946"/>
      <w:bookmarkStart w:id="8" w:name="_Toc19528"/>
      <w:r>
        <w:rPr>
          <w:rFonts w:hint="eastAsia" w:cs="方正小标宋简体" w:asciiTheme="majorEastAsia" w:hAnsiTheme="majorEastAsia" w:eastAsiaTheme="majorEastAsia"/>
          <w:b/>
          <w:bCs/>
          <w:color w:val="auto"/>
          <w:sz w:val="84"/>
          <w:szCs w:val="84"/>
          <w:highlight w:val="none"/>
        </w:rPr>
        <w:t>选</w:t>
      </w:r>
      <w:bookmarkEnd w:id="6"/>
      <w:bookmarkEnd w:id="7"/>
      <w:bookmarkEnd w:id="8"/>
    </w:p>
    <w:p w14:paraId="49E85403">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eastAsia" w:cs="方正小标宋简体" w:asciiTheme="majorEastAsia" w:hAnsiTheme="majorEastAsia" w:eastAsiaTheme="majorEastAsia"/>
          <w:b/>
          <w:bCs/>
          <w:color w:val="auto"/>
          <w:sz w:val="84"/>
          <w:szCs w:val="84"/>
          <w:highlight w:val="none"/>
        </w:rPr>
      </w:pPr>
      <w:bookmarkStart w:id="9" w:name="_Toc11518"/>
      <w:bookmarkStart w:id="10" w:name="_Toc24935"/>
      <w:bookmarkStart w:id="11" w:name="_Toc6712"/>
      <w:r>
        <w:rPr>
          <w:rFonts w:hint="eastAsia" w:cs="方正小标宋简体" w:asciiTheme="majorEastAsia" w:hAnsiTheme="majorEastAsia" w:eastAsiaTheme="majorEastAsia"/>
          <w:b/>
          <w:bCs/>
          <w:color w:val="auto"/>
          <w:sz w:val="84"/>
          <w:szCs w:val="84"/>
          <w:highlight w:val="none"/>
        </w:rPr>
        <w:t>文</w:t>
      </w:r>
      <w:bookmarkEnd w:id="9"/>
      <w:bookmarkEnd w:id="10"/>
      <w:bookmarkEnd w:id="11"/>
    </w:p>
    <w:p w14:paraId="6FB752B3">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cs="方正小标宋简体" w:asciiTheme="majorEastAsia" w:hAnsiTheme="majorEastAsia" w:eastAsiaTheme="majorEastAsia"/>
          <w:b/>
          <w:bCs/>
          <w:color w:val="auto"/>
          <w:sz w:val="44"/>
          <w:szCs w:val="44"/>
          <w:highlight w:val="none"/>
        </w:rPr>
      </w:pPr>
      <w:bookmarkStart w:id="12" w:name="_Toc6015"/>
      <w:bookmarkStart w:id="13" w:name="_Toc10205"/>
      <w:bookmarkStart w:id="14" w:name="_Toc28480"/>
      <w:r>
        <w:rPr>
          <w:rFonts w:hint="eastAsia" w:cs="方正小标宋简体" w:asciiTheme="majorEastAsia" w:hAnsiTheme="majorEastAsia" w:eastAsiaTheme="majorEastAsia"/>
          <w:b/>
          <w:bCs/>
          <w:color w:val="auto"/>
          <w:sz w:val="84"/>
          <w:szCs w:val="84"/>
          <w:highlight w:val="none"/>
        </w:rPr>
        <w:t>件</w:t>
      </w:r>
      <w:bookmarkEnd w:id="12"/>
      <w:bookmarkEnd w:id="13"/>
      <w:bookmarkEnd w:id="14"/>
    </w:p>
    <w:p w14:paraId="08BB6378">
      <w:pPr>
        <w:rPr>
          <w:color w:val="auto"/>
          <w:highlight w:val="none"/>
        </w:rPr>
      </w:pPr>
    </w:p>
    <w:p w14:paraId="0FD41A71">
      <w:pPr>
        <w:rPr>
          <w:color w:val="auto"/>
          <w:highlight w:val="none"/>
        </w:rPr>
      </w:pPr>
    </w:p>
    <w:p w14:paraId="01C333F9">
      <w:pPr>
        <w:rPr>
          <w:color w:val="auto"/>
          <w:highlight w:val="none"/>
        </w:rPr>
      </w:pPr>
    </w:p>
    <w:p w14:paraId="12C36291">
      <w:pPr>
        <w:jc w:val="center"/>
        <w:rPr>
          <w:rFonts w:ascii="方正小标宋简体" w:hAnsi="方正小标宋简体" w:eastAsia="方正小标宋简体" w:cs="方正小标宋简体"/>
          <w:bCs/>
          <w:color w:val="auto"/>
          <w:sz w:val="36"/>
          <w:szCs w:val="36"/>
          <w:highlight w:val="none"/>
        </w:rPr>
      </w:pPr>
    </w:p>
    <w:p w14:paraId="26E78CA1">
      <w:pPr>
        <w:jc w:val="center"/>
        <w:rPr>
          <w:rFonts w:ascii="方正小标宋简体" w:hAnsi="方正小标宋简体" w:eastAsia="方正小标宋简体" w:cs="方正小标宋简体"/>
          <w:bCs/>
          <w:color w:val="auto"/>
          <w:sz w:val="36"/>
          <w:szCs w:val="36"/>
          <w:highlight w:val="none"/>
        </w:rPr>
      </w:pPr>
    </w:p>
    <w:p w14:paraId="56BDE5EE">
      <w:pPr>
        <w:jc w:val="center"/>
        <w:rPr>
          <w:rFonts w:ascii="方正小标宋简体" w:hAnsi="方正小标宋简体" w:eastAsia="方正小标宋简体" w:cs="方正小标宋简体"/>
          <w:bCs/>
          <w:color w:val="auto"/>
          <w:sz w:val="36"/>
          <w:szCs w:val="36"/>
          <w:highlight w:val="none"/>
        </w:rPr>
      </w:pPr>
    </w:p>
    <w:p w14:paraId="62287D36">
      <w:pPr>
        <w:jc w:val="center"/>
        <w:rPr>
          <w:rFonts w:ascii="方正小标宋简体" w:hAnsi="方正小标宋简体" w:eastAsia="方正小标宋简体" w:cs="方正小标宋简体"/>
          <w:bCs/>
          <w:color w:val="auto"/>
          <w:sz w:val="36"/>
          <w:szCs w:val="36"/>
          <w:highlight w:val="none"/>
        </w:rPr>
      </w:pPr>
    </w:p>
    <w:p w14:paraId="4F8529D6">
      <w:pPr>
        <w:jc w:val="center"/>
        <w:outlineLvl w:val="0"/>
        <w:rPr>
          <w:rFonts w:hint="eastAsia" w:ascii="方正小标宋简体" w:hAnsi="方正小标宋简体" w:eastAsia="方正小标宋简体" w:cs="方正小标宋简体"/>
          <w:bCs/>
          <w:color w:val="auto"/>
          <w:sz w:val="36"/>
          <w:szCs w:val="36"/>
          <w:highlight w:val="none"/>
        </w:rPr>
      </w:pPr>
      <w:bookmarkStart w:id="15" w:name="_Toc29999"/>
      <w:bookmarkStart w:id="16" w:name="_Toc17603"/>
      <w:bookmarkStart w:id="17" w:name="_Toc20502"/>
      <w:r>
        <w:rPr>
          <w:rFonts w:hint="eastAsia" w:ascii="方正小标宋简体" w:hAnsi="方正小标宋简体" w:eastAsia="方正小标宋简体" w:cs="方正小标宋简体"/>
          <w:bCs/>
          <w:color w:val="auto"/>
          <w:sz w:val="36"/>
          <w:szCs w:val="36"/>
          <w:highlight w:val="none"/>
          <w:lang w:val="en-US" w:eastAsia="zh-CN"/>
        </w:rPr>
        <w:t>比选</w:t>
      </w:r>
      <w:r>
        <w:rPr>
          <w:rFonts w:hint="eastAsia" w:ascii="方正小标宋简体" w:hAnsi="方正小标宋简体" w:eastAsia="方正小标宋简体" w:cs="方正小标宋简体"/>
          <w:bCs/>
          <w:color w:val="auto"/>
          <w:sz w:val="36"/>
          <w:szCs w:val="36"/>
          <w:highlight w:val="none"/>
        </w:rPr>
        <w:t>人：</w:t>
      </w:r>
      <w:r>
        <w:rPr>
          <w:rFonts w:hint="eastAsia" w:ascii="方正小标宋简体" w:hAnsi="方正小标宋简体" w:eastAsia="方正小标宋简体" w:cs="方正小标宋简体"/>
          <w:bCs/>
          <w:color w:val="auto"/>
          <w:sz w:val="36"/>
          <w:szCs w:val="36"/>
          <w:highlight w:val="none"/>
          <w:lang w:val="en-US" w:eastAsia="zh-CN"/>
        </w:rPr>
        <w:t>海口市金融控股</w:t>
      </w:r>
      <w:r>
        <w:rPr>
          <w:rFonts w:hint="eastAsia" w:ascii="方正小标宋简体" w:hAnsi="方正小标宋简体" w:eastAsia="方正小标宋简体" w:cs="方正小标宋简体"/>
          <w:bCs/>
          <w:color w:val="auto"/>
          <w:sz w:val="36"/>
          <w:szCs w:val="36"/>
          <w:highlight w:val="none"/>
        </w:rPr>
        <w:t>集团有限公司</w:t>
      </w:r>
      <w:bookmarkEnd w:id="15"/>
      <w:bookmarkEnd w:id="16"/>
      <w:bookmarkEnd w:id="17"/>
    </w:p>
    <w:p w14:paraId="21030684">
      <w:pPr>
        <w:pStyle w:val="3"/>
        <w:outlineLvl w:val="9"/>
        <w:rPr>
          <w:color w:val="auto"/>
          <w:highlight w:val="none"/>
        </w:rPr>
      </w:pPr>
    </w:p>
    <w:p w14:paraId="1BCBACC3">
      <w:pPr>
        <w:jc w:val="center"/>
        <w:rPr>
          <w:color w:val="auto"/>
          <w:highlight w:val="none"/>
        </w:rPr>
      </w:pPr>
      <w:r>
        <w:rPr>
          <w:rFonts w:hint="eastAsia" w:ascii="方正小标宋简体" w:hAnsi="方正小标宋简体" w:eastAsia="方正小标宋简体" w:cs="方正小标宋简体"/>
          <w:bCs/>
          <w:color w:val="auto"/>
          <w:sz w:val="36"/>
          <w:szCs w:val="36"/>
          <w:highlight w:val="none"/>
        </w:rPr>
        <w:t>202</w:t>
      </w:r>
      <w:r>
        <w:rPr>
          <w:rFonts w:hint="eastAsia" w:ascii="方正小标宋简体" w:hAnsi="方正小标宋简体" w:eastAsia="方正小标宋简体" w:cs="方正小标宋简体"/>
          <w:bCs/>
          <w:color w:val="auto"/>
          <w:sz w:val="36"/>
          <w:szCs w:val="36"/>
          <w:highlight w:val="none"/>
          <w:lang w:val="en-US" w:eastAsia="zh-CN"/>
        </w:rPr>
        <w:t>6</w:t>
      </w:r>
      <w:r>
        <w:rPr>
          <w:rFonts w:hint="eastAsia" w:ascii="方正小标宋简体" w:hAnsi="方正小标宋简体" w:eastAsia="方正小标宋简体" w:cs="方正小标宋简体"/>
          <w:bCs/>
          <w:color w:val="auto"/>
          <w:sz w:val="36"/>
          <w:szCs w:val="36"/>
          <w:highlight w:val="none"/>
        </w:rPr>
        <w:t>年</w:t>
      </w:r>
      <w:r>
        <w:rPr>
          <w:rFonts w:hint="eastAsia" w:ascii="方正小标宋简体" w:hAnsi="方正小标宋简体" w:eastAsia="方正小标宋简体" w:cs="方正小标宋简体"/>
          <w:bCs/>
          <w:color w:val="auto"/>
          <w:sz w:val="36"/>
          <w:szCs w:val="36"/>
          <w:highlight w:val="none"/>
          <w:lang w:val="en-US" w:eastAsia="zh-CN"/>
        </w:rPr>
        <w:t>5</w:t>
      </w:r>
      <w:r>
        <w:rPr>
          <w:rFonts w:hint="eastAsia" w:ascii="方正小标宋简体" w:hAnsi="方正小标宋简体" w:eastAsia="方正小标宋简体" w:cs="方正小标宋简体"/>
          <w:bCs/>
          <w:color w:val="auto"/>
          <w:sz w:val="36"/>
          <w:szCs w:val="36"/>
          <w:highlight w:val="none"/>
        </w:rPr>
        <w:t>月</w:t>
      </w:r>
      <w:r>
        <w:rPr>
          <w:rFonts w:hint="eastAsia"/>
          <w:color w:val="auto"/>
          <w:highlight w:val="none"/>
        </w:rPr>
        <w:t xml:space="preserve">    </w:t>
      </w:r>
    </w:p>
    <w:p w14:paraId="55FF0A83">
      <w:pPr>
        <w:rPr>
          <w:color w:val="auto"/>
          <w:highlight w:val="none"/>
        </w:rPr>
      </w:pPr>
    </w:p>
    <w:p w14:paraId="35D60A47">
      <w:pPr>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color w:val="auto"/>
          <w:highlight w:val="none"/>
        </w:rPr>
        <w:br w:type="page"/>
      </w:r>
    </w:p>
    <w:p w14:paraId="4015A4DB">
      <w:pPr>
        <w:numPr>
          <w:ilvl w:val="0"/>
          <w:numId w:val="2"/>
        </w:numPr>
        <w:spacing w:line="578" w:lineRule="exact"/>
        <w:ind w:firstLine="0"/>
        <w:jc w:val="center"/>
        <w:outlineLvl w:val="0"/>
        <w:rPr>
          <w:rFonts w:ascii="黑体" w:hAnsi="黑体" w:eastAsia="黑体" w:cs="黑体"/>
          <w:color w:val="auto"/>
          <w:sz w:val="36"/>
          <w:szCs w:val="36"/>
          <w:highlight w:val="none"/>
        </w:rPr>
      </w:pPr>
      <w:r>
        <w:rPr>
          <w:rFonts w:hint="eastAsia" w:ascii="黑体" w:hAnsi="黑体" w:eastAsia="黑体" w:cs="黑体"/>
          <w:color w:val="auto"/>
          <w:sz w:val="36"/>
          <w:szCs w:val="36"/>
          <w:highlight w:val="none"/>
          <w:lang w:val="en-US" w:eastAsia="zh-CN"/>
        </w:rPr>
        <w:t>响应人须知</w:t>
      </w:r>
    </w:p>
    <w:p w14:paraId="436BB21D">
      <w:pPr>
        <w:rPr>
          <w:color w:val="auto"/>
          <w:highlight w:val="none"/>
        </w:rPr>
      </w:pPr>
    </w:p>
    <w:p w14:paraId="592FC6BF">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eastAsia="zh-CN"/>
        </w:rPr>
        <w:t>为</w:t>
      </w: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做好海口市金融控股集团有限公司</w:t>
      </w:r>
      <w:r>
        <w:rPr>
          <w:rFonts w:hint="eastAsia" w:ascii="仿宋" w:hAnsi="仿宋" w:eastAsia="仿宋" w:cs="仿宋"/>
          <w:i w:val="0"/>
          <w:iCs w:val="0"/>
          <w:caps w:val="0"/>
          <w:color w:val="auto"/>
          <w:spacing w:val="0"/>
          <w:sz w:val="32"/>
          <w:szCs w:val="32"/>
          <w:highlight w:val="none"/>
          <w:shd w:val="clear" w:color="auto" w:fill="auto"/>
          <w:vertAlign w:val="baseline"/>
          <w:lang w:eastAsia="zh-CN"/>
        </w:rPr>
        <w:t>发债工作</w:t>
      </w:r>
      <w:r>
        <w:rPr>
          <w:rFonts w:hint="eastAsia" w:ascii="仿宋" w:hAnsi="仿宋" w:eastAsia="仿宋" w:cs="仿宋"/>
          <w:color w:val="auto"/>
          <w:sz w:val="32"/>
          <w:szCs w:val="32"/>
          <w:highlight w:val="none"/>
        </w:rPr>
        <w:t>，</w:t>
      </w: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我司拟采购</w:t>
      </w: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法律服务</w:t>
      </w:r>
      <w:r>
        <w:rPr>
          <w:rFonts w:hint="eastAsia" w:ascii="仿宋" w:hAnsi="仿宋" w:eastAsia="仿宋" w:cs="仿宋"/>
          <w:i w:val="0"/>
          <w:iCs w:val="0"/>
          <w:caps w:val="0"/>
          <w:color w:val="auto"/>
          <w:spacing w:val="0"/>
          <w:sz w:val="32"/>
          <w:szCs w:val="32"/>
          <w:highlight w:val="none"/>
          <w:shd w:val="clear" w:color="auto" w:fill="auto"/>
          <w:vertAlign w:val="baseline"/>
          <w:lang w:eastAsia="zh-CN"/>
        </w:rPr>
        <w:t>，</w:t>
      </w: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现向社会公开邀请符合参选条件的法律机构参加，有关事项公告如下</w:t>
      </w:r>
      <w:r>
        <w:rPr>
          <w:rFonts w:hint="eastAsia" w:ascii="仿宋" w:hAnsi="仿宋" w:eastAsia="仿宋" w:cs="仿宋"/>
          <w:i w:val="0"/>
          <w:iCs w:val="0"/>
          <w:caps w:val="0"/>
          <w:color w:val="auto"/>
          <w:spacing w:val="0"/>
          <w:sz w:val="32"/>
          <w:szCs w:val="32"/>
          <w:highlight w:val="none"/>
          <w:shd w:val="clear" w:color="auto" w:fill="auto"/>
          <w:vertAlign w:val="baseline"/>
          <w:lang w:eastAsia="zh-CN"/>
        </w:rPr>
        <w:t>：</w:t>
      </w:r>
    </w:p>
    <w:p w14:paraId="3DA244C5">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18" w:name="_Toc10337"/>
      <w:bookmarkStart w:id="19" w:name="OLE_LINK12"/>
      <w:r>
        <w:rPr>
          <w:rFonts w:hint="eastAsia" w:ascii="仿宋" w:hAnsi="仿宋" w:eastAsia="仿宋" w:cs="仿宋"/>
          <w:b/>
          <w:bCs/>
          <w:color w:val="auto"/>
          <w:sz w:val="32"/>
          <w:szCs w:val="32"/>
          <w:highlight w:val="none"/>
          <w:lang w:val="en-US" w:eastAsia="zh-CN"/>
        </w:rPr>
        <w:t>一、项目基本情况</w:t>
      </w:r>
      <w:bookmarkEnd w:id="18"/>
    </w:p>
    <w:p w14:paraId="186C2B38">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 xml:space="preserve">（一）项目名称：海口市金融控股集团有限公司法律服务采购项目 </w:t>
      </w:r>
    </w:p>
    <w:p w14:paraId="34F5F0F8">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（二）项目地点：海南省海口市</w:t>
      </w:r>
    </w:p>
    <w:p w14:paraId="604E2A95">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（三）项目内容：根据我司申报、发行债券的情况及要求提供专项法律服务，包括但不限于草拟、审核相关合同、文件，出具法律意见书等文件，提供相关法律咨询服务等。主要为：</w:t>
      </w:r>
    </w:p>
    <w:p w14:paraId="0DF62A53">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1、研究有关发行公司债相关的法律及政策规定，就我公司本次公司债发行方案的设计提供咨询意见；</w:t>
      </w:r>
    </w:p>
    <w:p w14:paraId="3FB43801">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2、按我公司给出的时间节点对我公司及相关中介机构开展法律尽职调查，包括但不限于：</w:t>
      </w:r>
    </w:p>
    <w:p w14:paraId="076656B6">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1）审核我公司历史沿革的相关资料，包括：我公司设立批准文件、历次重大变更的相关文件、历次验资报告、历次股权转让的相关文件、法人营业执照、公司章程等材料；</w:t>
      </w:r>
    </w:p>
    <w:p w14:paraId="137F052A">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2）审核授权和批准文件：与我公司本次发行公司债有关的授权和批准文件；</w:t>
      </w:r>
    </w:p>
    <w:p w14:paraId="6049DC47">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3）审核我公司的财务文件，包括：近三年的审计报告、最近一期的财务报表等，以及相关的财务指标是否符合发行债券的要求；</w:t>
      </w:r>
    </w:p>
    <w:p w14:paraId="2B9D07E4">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4）审核我公司规章制度，包括：内控制度、财务制度及其他与发行债券有关的制度；</w:t>
      </w:r>
    </w:p>
    <w:p w14:paraId="6E8D357B">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5）审核我公司的其他事项：对外投资、关联方和关联交易、涉税事项、债权债务、担保事项、重大合同、重大诉讼/仲裁、行政处罚等对投资者作出投资决策有重大影响的事项和潜在法律风险；</w:t>
      </w:r>
    </w:p>
    <w:p w14:paraId="3AA1465A">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6）审核有关中介机构主体资格的材料，包括：承销商、信用评级机构、会计师事务所等中介机构的相关资格、资质文件等；</w:t>
      </w:r>
    </w:p>
    <w:p w14:paraId="746E8AE3">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7）审核监管机构所要求的其他核查事项及为出具法律意见书所需要的其他文件资料。</w:t>
      </w:r>
    </w:p>
    <w:p w14:paraId="5A1AD88D">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3、审阅我公司与其他中介机构为发行公司债签订的协议文件，根据进展需要参加我公司与其他各类中介机构的工作协调会、讨论会等并提供法律建议；</w:t>
      </w:r>
    </w:p>
    <w:p w14:paraId="75B8F7F5">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4、审核本次公司债发行程序的合法性和内容的合规性，包括审核相关申报文件、审计报告、信用评级报告、募集说明书等文件；</w:t>
      </w:r>
    </w:p>
    <w:p w14:paraId="182B936C">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5、审查本次公司债申报、发行的实质性条件是否满足；</w:t>
      </w:r>
    </w:p>
    <w:p w14:paraId="09E76E25">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6、为我公司本次公司债申报、发行过程中有关法律问题提供相关的法律咨询服务；</w:t>
      </w:r>
    </w:p>
    <w:p w14:paraId="766A3FAD">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7、根据有关法律规定及上报国资委等监管部门审批需要，就我公司本次公司债发行出具《法律意见书》及中国证监会、国资委、证券交易所等监管机构要求的其他文件；</w:t>
      </w:r>
    </w:p>
    <w:p w14:paraId="27D4DCBA">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8、根据监管部门的反馈意见，提供补充法律意见或相关资料；</w:t>
      </w:r>
    </w:p>
    <w:p w14:paraId="2C281780">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9、在每一期债券发行时，对发行过程中的簿记建档、配售行为、参与认购的投资者资质条件、资金划拨等事项进行见证，并出具法律意见书；</w:t>
      </w:r>
    </w:p>
    <w:p w14:paraId="58602E77">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10、其他与本次债券申报发行和存续期管理相关的法律服务工作。</w:t>
      </w:r>
    </w:p>
    <w:p w14:paraId="7000AEF8">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spacing w:val="8"/>
          <w:kern w:val="0"/>
          <w:sz w:val="32"/>
          <w:szCs w:val="32"/>
          <w:shd w:val="clear" w:fill="FFFFFF"/>
          <w:rtl w:val="0"/>
          <w:lang w:val="en-US" w:eastAsia="zh-CN" w:bidi="ar"/>
        </w:rPr>
      </w:pPr>
      <w:r>
        <w:rPr>
          <w:rFonts w:hint="eastAsia" w:ascii="仿宋" w:hAnsi="仿宋" w:eastAsia="仿宋" w:cs="仿宋"/>
          <w:i w:val="0"/>
          <w:iCs w:val="0"/>
          <w:caps w:val="0"/>
          <w:spacing w:val="8"/>
          <w:kern w:val="0"/>
          <w:sz w:val="32"/>
          <w:szCs w:val="32"/>
          <w:shd w:val="clear" w:fill="FFFFFF"/>
          <w:lang w:val="en-US" w:eastAsia="zh-CN" w:bidi="ar"/>
        </w:rPr>
        <w:t>（四）服务费用：本项目控制价为20万元。本次选聘采用包干价，即完成发行4亿元债券的全部申报发行服务总包一次报价，不因分批申报、分期发行而额外收费。报价为律师事务所为提供本方案中所列法律服务所需的全部费用，包括但不限于律师服务费、差旅费、查档费、查询费、税费等。</w:t>
      </w:r>
      <w:r>
        <w:rPr>
          <w:rFonts w:hint="eastAsia" w:ascii="仿宋" w:hAnsi="仿宋" w:eastAsia="仿宋" w:cs="仿宋"/>
          <w:i w:val="0"/>
          <w:iCs w:val="0"/>
          <w:caps w:val="0"/>
          <w:spacing w:val="8"/>
          <w:kern w:val="0"/>
          <w:sz w:val="32"/>
          <w:szCs w:val="32"/>
          <w:shd w:val="clear" w:fill="FFFFFF"/>
          <w:rtl w:val="0"/>
          <w:lang w:val="en-US" w:eastAsia="zh-CN" w:bidi="ar"/>
        </w:rPr>
        <w:t>供应商的报价（含税）</w:t>
      </w:r>
      <w:r>
        <w:rPr>
          <w:rFonts w:hint="default" w:ascii="仿宋" w:hAnsi="仿宋" w:eastAsia="仿宋" w:cs="仿宋"/>
          <w:i w:val="0"/>
          <w:iCs w:val="0"/>
          <w:caps w:val="0"/>
          <w:spacing w:val="8"/>
          <w:kern w:val="0"/>
          <w:sz w:val="32"/>
          <w:szCs w:val="32"/>
          <w:shd w:val="clear" w:fill="FFFFFF"/>
          <w:rtl w:val="0"/>
          <w:lang w:val="en-US" w:eastAsia="zh-CN" w:bidi="ar"/>
        </w:rPr>
        <w:t>不能高于最高控制价，否则将被视为无效报价，按废标处理。</w:t>
      </w:r>
    </w:p>
    <w:p w14:paraId="2D61FAB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五）时间与工作效果：合同签订之日起至采购人完成债券发行工作之日止。采购人首期申报注册债券所需律师事务所出具的法律意见书初稿时间不得晚于采购人申报注册债券前10个工作日，具体进度以采购人债券申报注册进度而定。</w:t>
      </w:r>
    </w:p>
    <w:p w14:paraId="1E9F51E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color w:val="auto"/>
          <w:spacing w:val="0"/>
          <w:sz w:val="32"/>
          <w:szCs w:val="32"/>
          <w:highlight w:val="none"/>
          <w:shd w:val="clear" w:color="auto" w:fill="auto"/>
          <w:vertAlign w:val="baseline"/>
          <w:rtl w:val="0"/>
          <w:lang w:val="en-US" w:eastAsia="zh-CN"/>
        </w:rPr>
      </w:pPr>
      <w:r>
        <w:rPr>
          <w:rFonts w:hint="eastAsia" w:ascii="仿宋" w:hAnsi="仿宋" w:eastAsia="仿宋" w:cs="仿宋"/>
          <w:i w:val="0"/>
          <w:iCs w:val="0"/>
          <w:caps w:val="0"/>
          <w:spacing w:val="8"/>
          <w:sz w:val="32"/>
          <w:szCs w:val="32"/>
          <w:shd w:val="clear" w:fill="FFFFFF"/>
          <w:lang w:val="en-US" w:eastAsia="zh-CN"/>
        </w:rPr>
        <w:t>（六）本项目不接受联合体参选。</w:t>
      </w:r>
    </w:p>
    <w:p w14:paraId="59638DE9">
      <w:pPr>
        <w:widowControl w:val="0"/>
        <w:numPr>
          <w:ilvl w:val="0"/>
          <w:numId w:val="0"/>
        </w:numPr>
        <w:adjustRightInd w:val="0"/>
        <w:snapToGrid w:val="0"/>
        <w:spacing w:line="520" w:lineRule="atLeast"/>
        <w:ind w:firstLine="640" w:firstLineChars="0"/>
        <w:jc w:val="both"/>
        <w:rPr>
          <w:rFonts w:hint="eastAsia" w:ascii="仿宋" w:hAnsi="仿宋" w:eastAsia="仿宋" w:cs="仿宋"/>
          <w:b/>
          <w:bCs/>
          <w:i w:val="0"/>
          <w:iCs w:val="0"/>
          <w:caps w:val="0"/>
          <w:color w:val="auto"/>
          <w:spacing w:val="0"/>
          <w:sz w:val="32"/>
          <w:szCs w:val="32"/>
          <w:highlight w:val="none"/>
          <w:shd w:val="clear" w:color="auto" w:fill="auto"/>
          <w:vertAlign w:val="baseline"/>
          <w:lang w:val="en-US" w:eastAsia="zh-CN"/>
        </w:rPr>
      </w:pPr>
      <w:bookmarkStart w:id="20" w:name="_Toc21709"/>
      <w:r>
        <w:rPr>
          <w:rFonts w:hint="eastAsia" w:ascii="仿宋" w:hAnsi="仿宋" w:eastAsia="仿宋" w:cs="仿宋"/>
          <w:b/>
          <w:bCs/>
          <w:i w:val="0"/>
          <w:iCs w:val="0"/>
          <w:caps w:val="0"/>
          <w:color w:val="auto"/>
          <w:spacing w:val="0"/>
          <w:sz w:val="32"/>
          <w:szCs w:val="32"/>
          <w:highlight w:val="none"/>
          <w:shd w:val="clear" w:color="auto" w:fill="auto"/>
          <w:vertAlign w:val="baseline"/>
          <w:lang w:val="en-US" w:eastAsia="zh-CN"/>
        </w:rPr>
        <w:t>二、响应人资格要求</w:t>
      </w:r>
      <w:bookmarkEnd w:id="20"/>
    </w:p>
    <w:p w14:paraId="3C910749">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rtl w:val="0"/>
          <w:lang w:val="en-US" w:eastAsia="zh-CN"/>
        </w:rPr>
      </w:pPr>
      <w:r>
        <w:rPr>
          <w:rFonts w:hint="eastAsia" w:ascii="仿宋" w:hAnsi="仿宋" w:eastAsia="仿宋" w:cs="仿宋"/>
          <w:i w:val="0"/>
          <w:iCs w:val="0"/>
          <w:caps w:val="0"/>
          <w:color w:val="auto"/>
          <w:spacing w:val="0"/>
          <w:sz w:val="32"/>
          <w:szCs w:val="32"/>
          <w:highlight w:val="none"/>
          <w:shd w:val="clear" w:color="auto" w:fill="auto"/>
          <w:vertAlign w:val="baseline"/>
          <w:rtl w:val="0"/>
          <w:lang w:val="en-US" w:eastAsia="zh-CN"/>
        </w:rPr>
        <w:t>参选响应人需同时满足以下条件，否则不得进入评分环节：</w:t>
      </w:r>
    </w:p>
    <w:p w14:paraId="18B53C32">
      <w:pPr>
        <w:ind w:firstLine="640" w:firstLineChars="200"/>
        <w:rPr>
          <w:rFonts w:hint="eastAsia" w:ascii="仿宋" w:hAnsi="仿宋" w:eastAsia="仿宋" w:cs="仿宋"/>
          <w:color w:val="auto"/>
          <w:sz w:val="32"/>
          <w:szCs w:val="32"/>
          <w:highlight w:val="none"/>
          <w:rtl w:val="0"/>
          <w:lang w:val="en-US" w:eastAsia="zh-CN"/>
        </w:rPr>
      </w:pPr>
      <w:r>
        <w:rPr>
          <w:rFonts w:hint="eastAsia" w:ascii="仿宋" w:hAnsi="仿宋" w:eastAsia="仿宋" w:cs="仿宋"/>
          <w:color w:val="auto"/>
          <w:sz w:val="32"/>
          <w:szCs w:val="32"/>
          <w:highlight w:val="none"/>
          <w:rtl w:val="0"/>
          <w:lang w:val="en-US" w:eastAsia="zh-CN"/>
        </w:rPr>
        <w:t>1.资质要求：具有独立法人资格并依法取得企业法人营业执照，</w:t>
      </w:r>
      <w:r>
        <w:rPr>
          <w:rFonts w:hint="eastAsia" w:ascii="仿宋" w:hAnsi="仿宋" w:eastAsia="仿宋" w:cs="仿宋"/>
          <w:i w:val="0"/>
          <w:iCs w:val="0"/>
          <w:caps w:val="0"/>
          <w:spacing w:val="8"/>
          <w:sz w:val="32"/>
          <w:szCs w:val="32"/>
          <w:shd w:val="clear" w:fill="FFFFFF"/>
          <w:lang w:val="en-US" w:eastAsia="zh-CN"/>
        </w:rPr>
        <w:t>具备证券法律业务备案资格（证监会备案），</w:t>
      </w:r>
      <w:r>
        <w:rPr>
          <w:rFonts w:hint="eastAsia" w:ascii="仿宋" w:hAnsi="仿宋" w:eastAsia="仿宋" w:cs="仿宋"/>
          <w:color w:val="auto"/>
          <w:sz w:val="32"/>
          <w:szCs w:val="32"/>
          <w:highlight w:val="none"/>
          <w:rtl w:val="0"/>
          <w:lang w:val="en-US" w:eastAsia="zh-CN"/>
        </w:rPr>
        <w:t>同时</w:t>
      </w:r>
      <w:r>
        <w:rPr>
          <w:rFonts w:hint="eastAsia" w:ascii="仿宋" w:hAnsi="仿宋" w:eastAsia="仿宋" w:cs="仿宋"/>
          <w:i w:val="0"/>
          <w:iCs w:val="0"/>
          <w:caps w:val="0"/>
          <w:spacing w:val="8"/>
          <w:sz w:val="32"/>
          <w:szCs w:val="32"/>
          <w:shd w:val="clear" w:fill="FFFFFF"/>
          <w:lang w:val="en-US" w:eastAsia="zh-CN"/>
        </w:rPr>
        <w:t>在中华人民共和国境内依法设立的律师事务所，提供有效的律师事务所执业许可证。若供应商为分所，除须提供分所的执业证书外，须同时提供律师事务所总所执业证书及总所的授权书</w:t>
      </w:r>
      <w:r>
        <w:rPr>
          <w:rFonts w:hint="eastAsia" w:ascii="仿宋" w:hAnsi="仿宋" w:eastAsia="仿宋" w:cs="仿宋"/>
          <w:color w:val="auto"/>
          <w:sz w:val="32"/>
          <w:szCs w:val="32"/>
          <w:highlight w:val="none"/>
          <w:rtl w:val="0"/>
          <w:lang w:val="en-US" w:eastAsia="zh-CN"/>
        </w:rPr>
        <w:t>（提供资质证书复印件并加盖公章）；</w:t>
      </w:r>
    </w:p>
    <w:p w14:paraId="2A6F0A6D">
      <w:pPr>
        <w:ind w:firstLine="640" w:firstLineChars="200"/>
        <w:rPr>
          <w:rFonts w:hint="eastAsia" w:ascii="仿宋" w:hAnsi="仿宋" w:eastAsia="仿宋" w:cs="仿宋"/>
          <w:color w:val="auto"/>
          <w:sz w:val="32"/>
          <w:szCs w:val="32"/>
          <w:highlight w:val="none"/>
          <w:rtl w:val="0"/>
          <w:lang w:val="en-US" w:eastAsia="zh-CN"/>
        </w:rPr>
      </w:pPr>
      <w:r>
        <w:rPr>
          <w:rFonts w:hint="eastAsia" w:ascii="仿宋" w:hAnsi="仿宋" w:eastAsia="仿宋" w:cs="仿宋"/>
          <w:color w:val="auto"/>
          <w:sz w:val="32"/>
          <w:szCs w:val="32"/>
          <w:highlight w:val="none"/>
          <w:rtl w:val="0"/>
          <w:lang w:val="en-US" w:eastAsia="zh-CN"/>
        </w:rPr>
        <w:t>2.监管合规：近3年（自2023年3月1日起至本项目响应文件提交截止之日止）在经营活动中无以下不良行为记录：没有处于被责令停业、投标资格被取消、财产被接管、冻结、破产状态，在经营活动中没有重大违法记录（声明格式见附件4，加盖公章，法定代表人或授权委托人签章）；</w:t>
      </w:r>
    </w:p>
    <w:p w14:paraId="61859D59">
      <w:pPr>
        <w:ind w:firstLine="640" w:firstLineChars="200"/>
        <w:rPr>
          <w:rFonts w:hint="eastAsia" w:ascii="仿宋" w:hAnsi="仿宋" w:eastAsia="仿宋" w:cs="仿宋"/>
          <w:color w:val="auto"/>
          <w:sz w:val="32"/>
          <w:szCs w:val="32"/>
          <w:highlight w:val="none"/>
          <w:rtl w:val="0"/>
          <w:lang w:val="en-US" w:eastAsia="zh-CN"/>
        </w:rPr>
      </w:pPr>
      <w:r>
        <w:rPr>
          <w:rFonts w:hint="eastAsia" w:ascii="仿宋" w:hAnsi="仿宋" w:eastAsia="仿宋" w:cs="仿宋"/>
          <w:color w:val="auto"/>
          <w:sz w:val="32"/>
          <w:szCs w:val="32"/>
          <w:highlight w:val="none"/>
          <w:rtl w:val="0"/>
          <w:lang w:val="en-US" w:eastAsia="zh-CN"/>
        </w:rPr>
        <w:t>3.信用状况：在“信用中国”网站（www.creditchina.gov.cn）未被列入失信被执行人、重大税收违法失信主体、政府采购严重违法失信记录名单；在中国政府采购网（www.ccgp.gov.cn）未被列入政府采购严重违法失信行为记录名单、政府采购代理机构不良行为记录名单；在中国执行网（http://zxgk.court.gov.cn/shixin/）未被列入失信被执行人名单（提供网站查询截图并加盖公章）；</w:t>
      </w:r>
    </w:p>
    <w:p w14:paraId="2346F83B">
      <w:pPr>
        <w:ind w:firstLine="640" w:firstLineChars="200"/>
        <w:rPr>
          <w:rFonts w:hint="eastAsia" w:ascii="仿宋" w:hAnsi="仿宋" w:eastAsia="仿宋" w:cs="仿宋"/>
          <w:color w:val="auto"/>
          <w:sz w:val="32"/>
          <w:szCs w:val="32"/>
          <w:highlight w:val="none"/>
          <w:rtl w:val="0"/>
          <w:lang w:val="en-US" w:eastAsia="zh-CN"/>
        </w:rPr>
      </w:pPr>
      <w:bookmarkStart w:id="21" w:name="_Toc13588"/>
      <w:r>
        <w:rPr>
          <w:rFonts w:hint="eastAsia" w:ascii="仿宋" w:hAnsi="仿宋" w:eastAsia="仿宋" w:cs="仿宋"/>
          <w:color w:val="auto"/>
          <w:sz w:val="32"/>
          <w:szCs w:val="32"/>
          <w:highlight w:val="none"/>
          <w:rtl w:val="0"/>
          <w:lang w:val="en-US" w:eastAsia="zh-CN"/>
        </w:rPr>
        <w:t>4.关联关系：法定代表人为同一人或者存在直接控股、管理关系的不同供应商，不得同时参加本项目的比选（声明格式自拟，加盖公章，法定代表人或授权委托人签章）；</w:t>
      </w:r>
    </w:p>
    <w:p w14:paraId="28E5AB9A">
      <w:pPr>
        <w:ind w:firstLine="640" w:firstLineChars="200"/>
        <w:rPr>
          <w:rFonts w:hint="eastAsia" w:ascii="仿宋" w:hAnsi="仿宋" w:eastAsia="仿宋" w:cs="仿宋"/>
          <w:color w:val="auto"/>
          <w:sz w:val="32"/>
          <w:szCs w:val="32"/>
          <w:highlight w:val="none"/>
          <w:rtl w:val="0"/>
          <w:lang w:val="en-US" w:eastAsia="zh-CN"/>
        </w:rPr>
      </w:pPr>
      <w:r>
        <w:rPr>
          <w:rFonts w:hint="eastAsia" w:ascii="仿宋" w:hAnsi="仿宋" w:eastAsia="仿宋" w:cs="仿宋"/>
          <w:color w:val="auto"/>
          <w:sz w:val="32"/>
          <w:szCs w:val="32"/>
          <w:highlight w:val="none"/>
          <w:rtl w:val="0"/>
          <w:lang w:val="en-US" w:eastAsia="zh-CN"/>
        </w:rPr>
        <w:t>5.独立性：本项目不接受联合体投标，不得转包和分包（声明格式自拟，加盖公章，法定代表人或授权委托人签章）。</w:t>
      </w:r>
    </w:p>
    <w:p w14:paraId="6E6CCF9F">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三、比选文件获取</w:t>
      </w:r>
      <w:bookmarkEnd w:id="21"/>
    </w:p>
    <w:p w14:paraId="44175150">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1.凡有意参加比选者请在我司官网上自行下载比选文件。</w:t>
      </w:r>
    </w:p>
    <w:p w14:paraId="6558D52E">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2.响应人若对比选文件有任何疑问,应于2026年5月12日18:00时(北京时间)前(含)以不署名的形式发送邮件至邮箱(</w:t>
      </w:r>
      <w:r>
        <w:rPr>
          <w:rFonts w:hint="eastAsia" w:ascii="仿宋" w:hAnsi="仿宋" w:eastAsia="仿宋" w:cs="仿宋"/>
          <w:i w:val="0"/>
          <w:iCs w:val="0"/>
          <w:caps w:val="0"/>
          <w:color w:val="auto"/>
          <w:spacing w:val="23"/>
          <w:sz w:val="32"/>
          <w:szCs w:val="32"/>
          <w:u w:val="none"/>
          <w:shd w:val="clear" w:fill="FFFFFF"/>
          <w:lang w:val="en-US" w:eastAsia="zh-CN"/>
        </w:rPr>
        <w:t>sjkjt@haikou.gov.cn</w:t>
      </w:r>
      <w:r>
        <w:rPr>
          <w:rFonts w:hint="eastAsia" w:ascii="仿宋" w:hAnsi="仿宋" w:eastAsia="仿宋" w:cs="仿宋"/>
          <w:color w:val="auto"/>
          <w:sz w:val="32"/>
          <w:szCs w:val="32"/>
          <w:highlight w:val="none"/>
          <w:lang w:val="en-US" w:eastAsia="zh-CN"/>
        </w:rPr>
        <w:t>),疑问不得透露单位和个人信息,不得出现响应人单位名称。</w:t>
      </w:r>
    </w:p>
    <w:p w14:paraId="1FC577DF">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3.有关项目的公告、答疑文件、比选文件的修改以及澄清等信息将在我司官网上发布,敬请获得比选文件的所有响应人关注,恕不另行通知,如有遗漏比选人概不负责。</w:t>
      </w:r>
    </w:p>
    <w:p w14:paraId="4F4AD875">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22" w:name="_Toc21711"/>
      <w:r>
        <w:rPr>
          <w:rFonts w:hint="eastAsia" w:ascii="仿宋" w:hAnsi="仿宋" w:eastAsia="仿宋" w:cs="仿宋"/>
          <w:b/>
          <w:bCs/>
          <w:color w:val="auto"/>
          <w:sz w:val="32"/>
          <w:szCs w:val="32"/>
          <w:highlight w:val="none"/>
          <w:lang w:val="en-US" w:eastAsia="zh-CN"/>
        </w:rPr>
        <w:t>四、响应文件递交</w:t>
      </w:r>
      <w:bookmarkEnd w:id="22"/>
    </w:p>
    <w:p w14:paraId="069C2610">
      <w:pPr>
        <w:pStyle w:val="25"/>
        <w:numPr>
          <w:ilvl w:val="0"/>
          <w:numId w:val="0"/>
        </w:numPr>
        <w:spacing w:line="580" w:lineRule="exact"/>
        <w:ind w:firstLine="640" w:firstLineChars="200"/>
        <w:rPr>
          <w:rFonts w:hint="eastAsia" w:ascii="仿宋" w:hAnsi="仿宋" w:eastAsia="仿宋" w:cs="仿宋"/>
          <w:color w:val="auto"/>
          <w:kern w:val="2"/>
          <w:sz w:val="32"/>
          <w:szCs w:val="32"/>
          <w:highlight w:val="none"/>
          <w:lang w:val="zh-TW" w:eastAsia="zh-CN" w:bidi="ar-SA"/>
          <w14:ligatures w14:val="standardContextual"/>
        </w:rPr>
      </w:pPr>
      <w:r>
        <w:rPr>
          <w:rFonts w:hint="eastAsia" w:ascii="仿宋" w:hAnsi="仿宋" w:eastAsia="仿宋" w:cs="仿宋"/>
          <w:color w:val="auto"/>
          <w:kern w:val="2"/>
          <w:sz w:val="32"/>
          <w:szCs w:val="32"/>
          <w:highlight w:val="none"/>
          <w:lang w:val="zh-TW" w:eastAsia="zh-CN" w:bidi="ar-SA"/>
          <w14:ligatures w14:val="standardContextual"/>
        </w:rPr>
        <w:t>1</w:t>
      </w:r>
      <w:r>
        <w:rPr>
          <w:rFonts w:hint="eastAsia" w:ascii="仿宋" w:hAnsi="仿宋" w:eastAsia="仿宋" w:cs="仿宋"/>
          <w:color w:val="auto"/>
          <w:kern w:val="2"/>
          <w:sz w:val="32"/>
          <w:szCs w:val="32"/>
          <w:highlight w:val="none"/>
          <w:lang w:val="en-US" w:eastAsia="zh-CN" w:bidi="ar-SA"/>
          <w14:ligatures w14:val="standardContextual"/>
        </w:rPr>
        <w:t>.送达</w:t>
      </w:r>
      <w:r>
        <w:rPr>
          <w:rFonts w:hint="eastAsia" w:ascii="仿宋" w:hAnsi="仿宋" w:eastAsia="仿宋" w:cs="仿宋"/>
          <w:color w:val="auto"/>
          <w:kern w:val="2"/>
          <w:sz w:val="32"/>
          <w:szCs w:val="32"/>
          <w:highlight w:val="none"/>
          <w:lang w:val="zh-TW" w:eastAsia="zh-CN" w:bidi="ar-SA"/>
          <w14:ligatures w14:val="standardContextual"/>
        </w:rPr>
        <w:t>截止时间：</w:t>
      </w:r>
      <w:r>
        <w:rPr>
          <w:rFonts w:hint="eastAsia" w:ascii="仿宋" w:hAnsi="仿宋" w:eastAsia="仿宋" w:cs="仿宋"/>
          <w:b/>
          <w:bCs/>
          <w:color w:val="auto"/>
          <w:kern w:val="2"/>
          <w:sz w:val="32"/>
          <w:szCs w:val="32"/>
          <w:highlight w:val="none"/>
          <w:lang w:val="zh-TW" w:eastAsia="zh-CN" w:bidi="ar-SA"/>
          <w14:ligatures w14:val="standardContextual"/>
        </w:rPr>
        <w:t>202</w:t>
      </w:r>
      <w:r>
        <w:rPr>
          <w:rFonts w:hint="eastAsia" w:ascii="仿宋" w:hAnsi="仿宋" w:eastAsia="仿宋" w:cs="仿宋"/>
          <w:b/>
          <w:bCs/>
          <w:color w:val="auto"/>
          <w:kern w:val="2"/>
          <w:sz w:val="32"/>
          <w:szCs w:val="32"/>
          <w:highlight w:val="none"/>
          <w:lang w:val="en-US" w:eastAsia="zh-CN" w:bidi="ar-SA"/>
          <w14:ligatures w14:val="standardContextual"/>
        </w:rPr>
        <w:t>6</w:t>
      </w:r>
      <w:r>
        <w:rPr>
          <w:rFonts w:hint="eastAsia" w:ascii="仿宋" w:hAnsi="仿宋" w:eastAsia="仿宋" w:cs="仿宋"/>
          <w:b/>
          <w:bCs/>
          <w:color w:val="auto"/>
          <w:kern w:val="2"/>
          <w:sz w:val="32"/>
          <w:szCs w:val="32"/>
          <w:highlight w:val="none"/>
          <w:lang w:val="zh-TW" w:eastAsia="zh-CN" w:bidi="ar-SA"/>
          <w14:ligatures w14:val="standardContextual"/>
        </w:rPr>
        <w:t>年</w:t>
      </w:r>
      <w:r>
        <w:rPr>
          <w:rFonts w:hint="eastAsia" w:ascii="仿宋" w:hAnsi="仿宋" w:eastAsia="仿宋" w:cs="仿宋"/>
          <w:b/>
          <w:bCs/>
          <w:color w:val="auto"/>
          <w:kern w:val="2"/>
          <w:sz w:val="32"/>
          <w:szCs w:val="32"/>
          <w:highlight w:val="none"/>
          <w:lang w:val="en-US" w:eastAsia="zh-CN" w:bidi="ar-SA"/>
          <w14:ligatures w14:val="standardContextual"/>
        </w:rPr>
        <w:t>5</w:t>
      </w:r>
      <w:r>
        <w:rPr>
          <w:rFonts w:hint="eastAsia" w:ascii="仿宋" w:hAnsi="仿宋" w:eastAsia="仿宋" w:cs="仿宋"/>
          <w:b/>
          <w:bCs/>
          <w:color w:val="auto"/>
          <w:kern w:val="2"/>
          <w:sz w:val="32"/>
          <w:szCs w:val="32"/>
          <w:highlight w:val="none"/>
          <w:lang w:val="zh-TW" w:eastAsia="zh-CN" w:bidi="ar-SA"/>
          <w14:ligatures w14:val="standardContextual"/>
        </w:rPr>
        <w:t>月</w:t>
      </w:r>
      <w:r>
        <w:rPr>
          <w:rFonts w:hint="eastAsia" w:ascii="仿宋" w:hAnsi="仿宋" w:eastAsia="仿宋" w:cs="仿宋"/>
          <w:b/>
          <w:bCs/>
          <w:color w:val="auto"/>
          <w:kern w:val="2"/>
          <w:sz w:val="32"/>
          <w:szCs w:val="32"/>
          <w:highlight w:val="none"/>
          <w:lang w:val="en-US" w:eastAsia="zh-CN" w:bidi="ar-SA"/>
          <w14:ligatures w14:val="standardContextual"/>
        </w:rPr>
        <w:t>14</w:t>
      </w:r>
      <w:r>
        <w:rPr>
          <w:rFonts w:hint="eastAsia" w:ascii="仿宋" w:hAnsi="仿宋" w:eastAsia="仿宋" w:cs="仿宋"/>
          <w:b/>
          <w:bCs/>
          <w:color w:val="auto"/>
          <w:kern w:val="2"/>
          <w:sz w:val="32"/>
          <w:szCs w:val="32"/>
          <w:highlight w:val="none"/>
          <w:lang w:val="zh-TW" w:eastAsia="zh-CN" w:bidi="ar-SA"/>
          <w14:ligatures w14:val="standardContextual"/>
        </w:rPr>
        <w:t>日</w:t>
      </w:r>
      <w:r>
        <w:rPr>
          <w:rFonts w:hint="eastAsia" w:ascii="仿宋" w:hAnsi="仿宋" w:eastAsia="仿宋" w:cs="仿宋"/>
          <w:b/>
          <w:bCs/>
          <w:color w:val="auto"/>
          <w:kern w:val="2"/>
          <w:sz w:val="32"/>
          <w:szCs w:val="32"/>
          <w:highlight w:val="none"/>
          <w:lang w:val="en-US" w:eastAsia="zh-CN" w:bidi="ar-SA"/>
          <w14:ligatures w14:val="standardContextual"/>
        </w:rPr>
        <w:t>9</w:t>
      </w:r>
      <w:r>
        <w:rPr>
          <w:rFonts w:hint="eastAsia" w:ascii="仿宋" w:hAnsi="仿宋" w:eastAsia="仿宋" w:cs="仿宋"/>
          <w:b/>
          <w:bCs/>
          <w:color w:val="auto"/>
          <w:kern w:val="2"/>
          <w:sz w:val="32"/>
          <w:szCs w:val="32"/>
          <w:highlight w:val="none"/>
          <w:lang w:val="zh-TW" w:eastAsia="zh-CN" w:bidi="ar-SA"/>
          <w14:ligatures w14:val="standardContextual"/>
        </w:rPr>
        <w:t>:</w:t>
      </w:r>
      <w:r>
        <w:rPr>
          <w:rFonts w:hint="eastAsia" w:ascii="仿宋" w:hAnsi="仿宋" w:eastAsia="仿宋" w:cs="仿宋"/>
          <w:b/>
          <w:bCs/>
          <w:color w:val="auto"/>
          <w:kern w:val="2"/>
          <w:sz w:val="32"/>
          <w:szCs w:val="32"/>
          <w:highlight w:val="none"/>
          <w:lang w:val="en-US" w:eastAsia="zh-CN" w:bidi="ar-SA"/>
          <w14:ligatures w14:val="standardContextual"/>
        </w:rPr>
        <w:t>3</w:t>
      </w:r>
      <w:r>
        <w:rPr>
          <w:rFonts w:hint="eastAsia" w:ascii="仿宋" w:hAnsi="仿宋" w:eastAsia="仿宋" w:cs="仿宋"/>
          <w:b/>
          <w:bCs/>
          <w:color w:val="auto"/>
          <w:kern w:val="2"/>
          <w:sz w:val="32"/>
          <w:szCs w:val="32"/>
          <w:highlight w:val="none"/>
          <w:lang w:val="zh-TW" w:eastAsia="zh-CN" w:bidi="ar-SA"/>
          <w14:ligatures w14:val="standardContextual"/>
        </w:rPr>
        <w:t>0（送达日指</w:t>
      </w:r>
      <w:r>
        <w:rPr>
          <w:rFonts w:hint="eastAsia" w:ascii="仿宋" w:hAnsi="仿宋" w:eastAsia="仿宋" w:cs="仿宋"/>
          <w:b/>
          <w:bCs/>
          <w:color w:val="auto"/>
          <w:kern w:val="2"/>
          <w:sz w:val="32"/>
          <w:szCs w:val="32"/>
          <w:highlight w:val="none"/>
          <w:lang w:val="en-US" w:eastAsia="zh-CN" w:bidi="ar-SA"/>
          <w14:ligatures w14:val="standardContextual"/>
        </w:rPr>
        <w:t>我司</w:t>
      </w:r>
      <w:r>
        <w:rPr>
          <w:rFonts w:hint="eastAsia" w:ascii="仿宋" w:hAnsi="仿宋" w:eastAsia="仿宋" w:cs="仿宋"/>
          <w:b/>
          <w:bCs/>
          <w:color w:val="auto"/>
          <w:kern w:val="2"/>
          <w:sz w:val="32"/>
          <w:szCs w:val="32"/>
          <w:highlight w:val="none"/>
          <w:lang w:val="zh-TW" w:eastAsia="zh-CN" w:bidi="ar-SA"/>
          <w14:ligatures w14:val="standardContextual"/>
        </w:rPr>
        <w:t>收到</w:t>
      </w:r>
      <w:r>
        <w:rPr>
          <w:rFonts w:hint="eastAsia" w:ascii="仿宋" w:hAnsi="仿宋" w:eastAsia="仿宋" w:cs="仿宋"/>
          <w:b/>
          <w:bCs/>
          <w:color w:val="auto"/>
          <w:kern w:val="2"/>
          <w:sz w:val="32"/>
          <w:szCs w:val="32"/>
          <w:highlight w:val="none"/>
          <w:lang w:val="en-US" w:eastAsia="zh-CN" w:bidi="ar-SA"/>
          <w14:ligatures w14:val="standardContextual"/>
        </w:rPr>
        <w:t>响应</w:t>
      </w:r>
      <w:r>
        <w:rPr>
          <w:rFonts w:hint="eastAsia" w:ascii="仿宋" w:hAnsi="仿宋" w:eastAsia="仿宋" w:cs="仿宋"/>
          <w:b/>
          <w:bCs/>
          <w:color w:val="auto"/>
          <w:kern w:val="2"/>
          <w:sz w:val="32"/>
          <w:szCs w:val="32"/>
          <w:highlight w:val="none"/>
          <w:lang w:val="zh-TW" w:eastAsia="zh-CN" w:bidi="ar-SA"/>
          <w14:ligatures w14:val="standardContextual"/>
        </w:rPr>
        <w:t>文件之日）</w:t>
      </w:r>
      <w:r>
        <w:rPr>
          <w:rFonts w:hint="eastAsia" w:ascii="仿宋" w:hAnsi="仿宋" w:eastAsia="仿宋" w:cs="仿宋"/>
          <w:color w:val="auto"/>
          <w:kern w:val="2"/>
          <w:sz w:val="32"/>
          <w:szCs w:val="32"/>
          <w:highlight w:val="none"/>
          <w:lang w:val="zh-TW" w:eastAsia="zh-CN" w:bidi="ar-SA"/>
          <w14:ligatures w14:val="standardContextual"/>
        </w:rPr>
        <w:t>。</w:t>
      </w:r>
    </w:p>
    <w:p w14:paraId="2FBC3FE9">
      <w:pPr>
        <w:pStyle w:val="25"/>
        <w:numPr>
          <w:ilvl w:val="0"/>
          <w:numId w:val="0"/>
        </w:numPr>
        <w:spacing w:line="580" w:lineRule="exact"/>
        <w:ind w:firstLine="640" w:firstLineChars="200"/>
        <w:rPr>
          <w:rFonts w:hint="eastAsia" w:ascii="仿宋" w:hAnsi="仿宋" w:eastAsia="仿宋" w:cs="仿宋"/>
          <w:color w:val="auto"/>
          <w:kern w:val="2"/>
          <w:sz w:val="32"/>
          <w:szCs w:val="32"/>
          <w:highlight w:val="none"/>
          <w:lang w:val="zh-TW"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2.</w:t>
      </w:r>
      <w:r>
        <w:rPr>
          <w:rFonts w:hint="eastAsia" w:ascii="仿宋" w:hAnsi="仿宋" w:eastAsia="仿宋" w:cs="仿宋"/>
          <w:color w:val="auto"/>
          <w:kern w:val="2"/>
          <w:sz w:val="32"/>
          <w:szCs w:val="32"/>
          <w:highlight w:val="none"/>
          <w:lang w:val="zh-TW" w:eastAsia="zh-CN" w:bidi="ar-SA"/>
          <w14:ligatures w14:val="standardContextual"/>
        </w:rPr>
        <w:t>递交地点:</w:t>
      </w:r>
      <w:r>
        <w:rPr>
          <w:rFonts w:hint="eastAsia" w:ascii="仿宋" w:hAnsi="仿宋" w:eastAsia="仿宋" w:cs="仿宋"/>
          <w:b/>
          <w:bCs/>
          <w:color w:val="auto"/>
          <w:kern w:val="2"/>
          <w:sz w:val="32"/>
          <w:szCs w:val="32"/>
          <w:highlight w:val="none"/>
          <w:lang w:val="en-US" w:eastAsia="zh-CN" w:bidi="ar-SA"/>
          <w14:ligatures w14:val="standardContextual"/>
        </w:rPr>
        <w:t>海南省海口市龙华区文华东路9号海口金控大厦609室</w:t>
      </w:r>
      <w:r>
        <w:rPr>
          <w:rFonts w:hint="eastAsia" w:ascii="仿宋" w:hAnsi="仿宋" w:eastAsia="仿宋" w:cs="仿宋"/>
          <w:color w:val="auto"/>
          <w:kern w:val="2"/>
          <w:sz w:val="32"/>
          <w:szCs w:val="32"/>
          <w:highlight w:val="none"/>
          <w:lang w:val="zh-TW" w:eastAsia="zh-CN" w:bidi="ar-SA"/>
          <w14:ligatures w14:val="standardContextual"/>
        </w:rPr>
        <w:t>。</w:t>
      </w:r>
    </w:p>
    <w:p w14:paraId="0D8EA4CE">
      <w:pPr>
        <w:spacing w:line="578" w:lineRule="exact"/>
        <w:ind w:firstLine="640" w:firstLineChars="200"/>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3.响应文件要求纸质版，</w:t>
      </w:r>
      <w:r>
        <w:rPr>
          <w:rFonts w:hint="eastAsia" w:ascii="仿宋" w:hAnsi="仿宋" w:eastAsia="仿宋" w:cs="仿宋"/>
          <w:i w:val="0"/>
          <w:iCs w:val="0"/>
          <w:caps w:val="0"/>
          <w:color w:val="auto"/>
          <w:spacing w:val="0"/>
          <w:kern w:val="0"/>
          <w:sz w:val="32"/>
          <w:szCs w:val="32"/>
          <w:shd w:val="clear" w:color="auto" w:fill="auto"/>
          <w:vertAlign w:val="baseline"/>
          <w:lang w:val="en-US" w:eastAsia="zh-CN" w:bidi="ar-SA"/>
        </w:rPr>
        <w:t>以当面、邮寄等方式递交，</w:t>
      </w:r>
      <w:r>
        <w:rPr>
          <w:rFonts w:hint="eastAsia" w:ascii="仿宋" w:hAnsi="仿宋" w:eastAsia="仿宋" w:cs="仿宋"/>
          <w:color w:val="auto"/>
          <w:sz w:val="32"/>
          <w:szCs w:val="32"/>
          <w:highlight w:val="none"/>
        </w:rPr>
        <w:t>概不接受通过电报、电话、传真和</w:t>
      </w:r>
      <w:r>
        <w:rPr>
          <w:rFonts w:hint="eastAsia" w:ascii="仿宋" w:hAnsi="仿宋" w:eastAsia="仿宋" w:cs="仿宋"/>
          <w:color w:val="auto"/>
          <w:sz w:val="32"/>
          <w:szCs w:val="32"/>
          <w:highlight w:val="none"/>
          <w:lang w:val="en-US" w:eastAsia="zh-CN"/>
        </w:rPr>
        <w:t>电子</w:t>
      </w:r>
      <w:r>
        <w:rPr>
          <w:rFonts w:hint="eastAsia" w:ascii="仿宋" w:hAnsi="仿宋" w:eastAsia="仿宋" w:cs="仿宋"/>
          <w:color w:val="auto"/>
          <w:sz w:val="32"/>
          <w:szCs w:val="32"/>
          <w:highlight w:val="none"/>
        </w:rPr>
        <w:t>邮件方式传递的比选文件。</w:t>
      </w:r>
    </w:p>
    <w:p w14:paraId="15283861">
      <w:pPr>
        <w:spacing w:line="578" w:lineRule="exact"/>
        <w:ind w:firstLine="640" w:firstLineChars="200"/>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4.</w:t>
      </w:r>
      <w:r>
        <w:rPr>
          <w:rFonts w:hint="eastAsia" w:ascii="仿宋" w:hAnsi="仿宋" w:eastAsia="仿宋" w:cs="仿宋"/>
          <w:color w:val="auto"/>
          <w:kern w:val="2"/>
          <w:sz w:val="32"/>
          <w:szCs w:val="32"/>
          <w:highlight w:val="none"/>
          <w:lang w:val="zh-TW" w:eastAsia="zh-CN" w:bidi="ar-SA"/>
          <w14:ligatures w14:val="standardContextual"/>
        </w:rPr>
        <w:t>逾期送达的或者未送达指定地点的</w:t>
      </w:r>
      <w:r>
        <w:rPr>
          <w:rFonts w:hint="eastAsia" w:ascii="仿宋" w:hAnsi="仿宋" w:eastAsia="仿宋" w:cs="仿宋"/>
          <w:color w:val="auto"/>
          <w:kern w:val="2"/>
          <w:sz w:val="32"/>
          <w:szCs w:val="32"/>
          <w:highlight w:val="none"/>
          <w:lang w:val="en-US" w:eastAsia="zh-CN" w:bidi="ar-SA"/>
          <w14:ligatures w14:val="standardContextual"/>
        </w:rPr>
        <w:t>响应</w:t>
      </w:r>
      <w:r>
        <w:rPr>
          <w:rFonts w:hint="eastAsia" w:ascii="仿宋" w:hAnsi="仿宋" w:eastAsia="仿宋" w:cs="仿宋"/>
          <w:color w:val="auto"/>
          <w:kern w:val="2"/>
          <w:sz w:val="32"/>
          <w:szCs w:val="32"/>
          <w:highlight w:val="none"/>
          <w:lang w:val="zh-TW" w:eastAsia="zh-CN" w:bidi="ar-SA"/>
          <w14:ligatures w14:val="standardContextual"/>
        </w:rPr>
        <w:t>文件,比选人不予受理。</w:t>
      </w:r>
    </w:p>
    <w:bookmarkEnd w:id="19"/>
    <w:p w14:paraId="67494063">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23" w:name="_Toc8283"/>
      <w:r>
        <w:rPr>
          <w:rFonts w:hint="eastAsia" w:ascii="仿宋" w:hAnsi="仿宋" w:eastAsia="仿宋" w:cs="仿宋"/>
          <w:b/>
          <w:bCs/>
          <w:color w:val="auto"/>
          <w:sz w:val="32"/>
          <w:szCs w:val="32"/>
          <w:highlight w:val="none"/>
          <w:lang w:val="en-US" w:eastAsia="zh-CN"/>
        </w:rPr>
        <w:t>五、联系方式</w:t>
      </w:r>
      <w:bookmarkEnd w:id="23"/>
    </w:p>
    <w:p w14:paraId="6E9C6E1F">
      <w:pPr>
        <w:widowControl w:val="0"/>
        <w:numPr>
          <w:ilvl w:val="0"/>
          <w:numId w:val="0"/>
        </w:numPr>
        <w:adjustRightInd w:val="0"/>
        <w:snapToGrid w:val="0"/>
        <w:spacing w:after="0" w:line="520" w:lineRule="atLeast"/>
        <w:ind w:firstLine="640" w:firstLineChars="200"/>
        <w:jc w:val="both"/>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比 选 人：海口市金融控股集团有限公司</w:t>
      </w:r>
    </w:p>
    <w:p w14:paraId="7ABD1EDD">
      <w:pPr>
        <w:widowControl w:val="0"/>
        <w:numPr>
          <w:ilvl w:val="0"/>
          <w:numId w:val="0"/>
        </w:numPr>
        <w:adjustRightInd w:val="0"/>
        <w:snapToGrid w:val="0"/>
        <w:spacing w:after="0" w:line="520" w:lineRule="atLeast"/>
        <w:ind w:firstLine="640" w:firstLineChars="200"/>
        <w:jc w:val="both"/>
        <w:rPr>
          <w:rFonts w:hint="eastAsia" w:ascii="仿宋" w:hAnsi="仿宋" w:eastAsia="仿宋" w:cs="仿宋"/>
          <w:b w:val="0"/>
          <w:bCs w:val="0"/>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地    址：</w:t>
      </w:r>
      <w:r>
        <w:rPr>
          <w:rFonts w:hint="eastAsia" w:ascii="仿宋" w:hAnsi="仿宋" w:eastAsia="仿宋" w:cs="仿宋"/>
          <w:b w:val="0"/>
          <w:bCs w:val="0"/>
          <w:color w:val="auto"/>
          <w:kern w:val="2"/>
          <w:sz w:val="32"/>
          <w:szCs w:val="32"/>
          <w:highlight w:val="none"/>
          <w:lang w:val="en-US" w:eastAsia="zh-CN" w:bidi="ar-SA"/>
          <w14:ligatures w14:val="standardContextual"/>
        </w:rPr>
        <w:t>海南省海口市龙华区文华东路9号海口金控大厦</w:t>
      </w:r>
    </w:p>
    <w:p w14:paraId="48D16DB2">
      <w:pPr>
        <w:widowControl w:val="0"/>
        <w:numPr>
          <w:ilvl w:val="0"/>
          <w:numId w:val="0"/>
        </w:numPr>
        <w:adjustRightInd w:val="0"/>
        <w:snapToGrid w:val="0"/>
        <w:spacing w:after="0" w:line="520" w:lineRule="atLeast"/>
        <w:ind w:firstLine="640" w:firstLineChars="200"/>
        <w:jc w:val="both"/>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联 系 人：杨梓</w:t>
      </w:r>
    </w:p>
    <w:p w14:paraId="1414A196">
      <w:pPr>
        <w:widowControl w:val="0"/>
        <w:numPr>
          <w:ilvl w:val="0"/>
          <w:numId w:val="0"/>
        </w:numPr>
        <w:adjustRightInd w:val="0"/>
        <w:snapToGrid w:val="0"/>
        <w:spacing w:after="0" w:line="520" w:lineRule="atLeast"/>
        <w:ind w:firstLine="640" w:firstLineChars="200"/>
        <w:jc w:val="both"/>
        <w:rPr>
          <w:rFonts w:hint="default"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联系电话：15008988589</w:t>
      </w:r>
      <w:bookmarkStart w:id="51" w:name="_GoBack"/>
      <w:bookmarkEnd w:id="51"/>
    </w:p>
    <w:p w14:paraId="398B8706">
      <w:pPr>
        <w:widowControl w:val="0"/>
        <w:numPr>
          <w:ilvl w:val="0"/>
          <w:numId w:val="0"/>
        </w:numPr>
        <w:adjustRightInd w:val="0"/>
        <w:snapToGrid w:val="0"/>
        <w:spacing w:after="0" w:line="520" w:lineRule="atLeast"/>
        <w:ind w:firstLine="640" w:firstLineChars="200"/>
        <w:jc w:val="both"/>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邮    箱：</w:t>
      </w:r>
      <w:r>
        <w:rPr>
          <w:rFonts w:hint="eastAsia" w:ascii="仿宋" w:hAnsi="仿宋" w:eastAsia="仿宋" w:cs="仿宋"/>
          <w:i w:val="0"/>
          <w:iCs w:val="0"/>
          <w:caps w:val="0"/>
          <w:color w:val="auto"/>
          <w:spacing w:val="23"/>
          <w:sz w:val="32"/>
          <w:szCs w:val="32"/>
          <w:u w:val="none"/>
          <w:shd w:val="clear" w:fill="FFFFFF"/>
          <w:lang w:val="en-US" w:eastAsia="zh-CN"/>
        </w:rPr>
        <w:t>sjkjt@haikou.gov.cn</w:t>
      </w:r>
    </w:p>
    <w:p w14:paraId="615E8DD4">
      <w:pPr>
        <w:widowControl w:val="0"/>
        <w:numPr>
          <w:ilvl w:val="0"/>
          <w:numId w:val="0"/>
        </w:numPr>
        <w:adjustRightInd w:val="0"/>
        <w:snapToGrid w:val="0"/>
        <w:spacing w:after="0" w:line="520" w:lineRule="atLeast"/>
        <w:ind w:firstLine="640" w:firstLineChars="200"/>
        <w:jc w:val="both"/>
        <w:rPr>
          <w:rFonts w:hint="eastAsia" w:ascii="仿宋" w:hAnsi="仿宋" w:eastAsia="仿宋" w:cs="仿宋"/>
          <w:color w:val="auto"/>
          <w:kern w:val="2"/>
          <w:sz w:val="32"/>
          <w:szCs w:val="32"/>
          <w:highlight w:val="none"/>
          <w:lang w:val="en-US" w:eastAsia="zh-CN" w:bidi="ar-SA"/>
          <w14:ligatures w14:val="standardContextual"/>
        </w:rPr>
      </w:pPr>
    </w:p>
    <w:p w14:paraId="46081C71">
      <w:pPr>
        <w:rPr>
          <w:rFonts w:ascii="黑体" w:hAnsi="黑体" w:eastAsia="黑体" w:cs="黑体"/>
          <w:color w:val="auto"/>
          <w:sz w:val="36"/>
          <w:szCs w:val="36"/>
          <w:highlight w:val="none"/>
        </w:rPr>
      </w:pPr>
      <w:bookmarkStart w:id="24" w:name="_Toc19812"/>
      <w:r>
        <w:rPr>
          <w:rFonts w:hint="eastAsia" w:ascii="黑体" w:hAnsi="黑体" w:eastAsia="黑体" w:cs="黑体"/>
          <w:color w:val="auto"/>
          <w:sz w:val="36"/>
          <w:szCs w:val="36"/>
          <w:highlight w:val="none"/>
          <w:lang w:val="en-US" w:eastAsia="zh-CN"/>
        </w:rPr>
        <w:br w:type="page"/>
      </w:r>
    </w:p>
    <w:p w14:paraId="248B98CE">
      <w:pPr>
        <w:numPr>
          <w:ilvl w:val="0"/>
          <w:numId w:val="2"/>
        </w:numPr>
        <w:spacing w:line="578" w:lineRule="exact"/>
        <w:ind w:firstLine="0"/>
        <w:jc w:val="center"/>
        <w:outlineLvl w:val="0"/>
        <w:rPr>
          <w:rFonts w:ascii="黑体" w:hAnsi="黑体" w:eastAsia="黑体" w:cs="黑体"/>
          <w:color w:val="auto"/>
          <w:sz w:val="36"/>
          <w:szCs w:val="36"/>
          <w:highlight w:val="none"/>
        </w:rPr>
      </w:pPr>
      <w:r>
        <w:rPr>
          <w:rFonts w:hint="eastAsia" w:ascii="黑体" w:hAnsi="黑体" w:eastAsia="黑体" w:cs="黑体"/>
          <w:color w:val="auto"/>
          <w:sz w:val="36"/>
          <w:szCs w:val="36"/>
          <w:highlight w:val="none"/>
          <w:lang w:val="en-US" w:eastAsia="zh-CN"/>
        </w:rPr>
        <w:t>响应</w:t>
      </w:r>
      <w:r>
        <w:rPr>
          <w:rFonts w:hint="eastAsia" w:ascii="黑体" w:hAnsi="黑体" w:eastAsia="黑体" w:cs="黑体"/>
          <w:color w:val="auto"/>
          <w:sz w:val="36"/>
          <w:szCs w:val="36"/>
          <w:highlight w:val="none"/>
        </w:rPr>
        <w:t>文件</w:t>
      </w:r>
      <w:r>
        <w:rPr>
          <w:rFonts w:hint="eastAsia" w:ascii="黑体" w:hAnsi="黑体" w:eastAsia="黑体" w:cs="黑体"/>
          <w:color w:val="auto"/>
          <w:sz w:val="36"/>
          <w:szCs w:val="36"/>
          <w:highlight w:val="none"/>
          <w:lang w:val="en-US" w:eastAsia="zh-CN"/>
        </w:rPr>
        <w:t>要求</w:t>
      </w:r>
      <w:bookmarkEnd w:id="24"/>
    </w:p>
    <w:p w14:paraId="7CF4547C">
      <w:pPr>
        <w:spacing w:line="578" w:lineRule="exact"/>
        <w:ind w:firstLine="640" w:firstLineChars="200"/>
        <w:rPr>
          <w:rFonts w:hint="eastAsia" w:ascii="仿宋" w:hAnsi="仿宋" w:eastAsia="仿宋" w:cs="仿宋_GB2312"/>
          <w:color w:val="auto"/>
          <w:sz w:val="32"/>
          <w:szCs w:val="32"/>
          <w:highlight w:val="none"/>
        </w:rPr>
      </w:pPr>
    </w:p>
    <w:p w14:paraId="05FFB9CF">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25" w:name="_Toc3078"/>
      <w:r>
        <w:rPr>
          <w:rFonts w:hint="eastAsia" w:ascii="仿宋" w:hAnsi="仿宋" w:eastAsia="仿宋" w:cs="黑体"/>
          <w:bCs/>
          <w:color w:val="auto"/>
          <w:sz w:val="32"/>
          <w:szCs w:val="32"/>
          <w:highlight w:val="none"/>
          <w:lang w:val="en-US" w:eastAsia="zh-CN"/>
        </w:rPr>
        <w:t>响应</w:t>
      </w:r>
      <w:r>
        <w:rPr>
          <w:rFonts w:hint="eastAsia" w:ascii="仿宋" w:hAnsi="仿宋" w:eastAsia="仿宋" w:cs="黑体"/>
          <w:bCs/>
          <w:color w:val="auto"/>
          <w:sz w:val="32"/>
          <w:szCs w:val="32"/>
          <w:highlight w:val="none"/>
          <w:lang w:val="en-US"/>
        </w:rPr>
        <w:t>文件</w:t>
      </w:r>
      <w:r>
        <w:rPr>
          <w:rFonts w:hint="eastAsia" w:ascii="仿宋" w:hAnsi="仿宋" w:eastAsia="仿宋" w:cs="黑体"/>
          <w:bCs/>
          <w:color w:val="auto"/>
          <w:sz w:val="32"/>
          <w:szCs w:val="32"/>
          <w:highlight w:val="none"/>
          <w:lang w:val="en-US" w:eastAsia="zh-CN"/>
        </w:rPr>
        <w:t>组成</w:t>
      </w:r>
      <w:bookmarkEnd w:id="25"/>
    </w:p>
    <w:p w14:paraId="08DC4E00">
      <w:p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每份</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w:t>
      </w:r>
      <w:r>
        <w:rPr>
          <w:rFonts w:hint="eastAsia" w:ascii="仿宋" w:hAnsi="仿宋" w:eastAsia="仿宋" w:cs="仿宋_GB2312"/>
          <w:color w:val="auto"/>
          <w:sz w:val="32"/>
          <w:szCs w:val="32"/>
          <w:highlight w:val="none"/>
          <w:lang w:val="en-US" w:eastAsia="zh-CN"/>
        </w:rPr>
        <w:t>应包括以下内容</w:t>
      </w:r>
      <w:r>
        <w:rPr>
          <w:rFonts w:hint="eastAsia" w:ascii="仿宋" w:hAnsi="仿宋" w:eastAsia="仿宋" w:cs="仿宋_GB2312"/>
          <w:color w:val="auto"/>
          <w:sz w:val="32"/>
          <w:szCs w:val="32"/>
          <w:highlight w:val="none"/>
        </w:rPr>
        <w:t>：</w:t>
      </w:r>
    </w:p>
    <w:p w14:paraId="15A31362">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封面</w:t>
      </w:r>
    </w:p>
    <w:p w14:paraId="5DC5D64D">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目录</w:t>
      </w:r>
    </w:p>
    <w:p w14:paraId="6CA9FA45">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文件声明函（按附件</w:t>
      </w:r>
      <w:r>
        <w:rPr>
          <w:rFonts w:hint="eastAsia" w:ascii="仿宋" w:hAnsi="仿宋" w:eastAsia="仿宋" w:cs="仿宋_GB2312"/>
          <w:color w:val="auto"/>
          <w:sz w:val="32"/>
          <w:szCs w:val="32"/>
          <w:highlight w:val="none"/>
          <w:lang w:val="en-US" w:eastAsia="zh-CN"/>
        </w:rPr>
        <w:t>1</w:t>
      </w:r>
      <w:r>
        <w:rPr>
          <w:rFonts w:hint="eastAsia" w:ascii="仿宋" w:hAnsi="仿宋" w:eastAsia="仿宋" w:cs="仿宋_GB2312"/>
          <w:color w:val="auto"/>
          <w:sz w:val="32"/>
          <w:szCs w:val="32"/>
          <w:highlight w:val="none"/>
        </w:rPr>
        <w:t>样式）</w:t>
      </w:r>
    </w:p>
    <w:p w14:paraId="1006CC5E">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机构简介</w:t>
      </w:r>
    </w:p>
    <w:p w14:paraId="281D51FB">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资格审查材料</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按第三章评审办法第二条第（一）款《资格审查表》的要求准备</w:t>
      </w:r>
      <w:r>
        <w:rPr>
          <w:rFonts w:hint="eastAsia" w:ascii="仿宋" w:hAnsi="仿宋" w:eastAsia="仿宋" w:cs="仿宋_GB2312"/>
          <w:color w:val="auto"/>
          <w:sz w:val="32"/>
          <w:szCs w:val="32"/>
          <w:highlight w:val="none"/>
          <w:lang w:eastAsia="zh-CN"/>
        </w:rPr>
        <w:t>）</w:t>
      </w:r>
    </w:p>
    <w:p w14:paraId="20B35EEA">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法定代表人身份证明或附有法定代表人身份证明的授权委托书</w:t>
      </w:r>
    </w:p>
    <w:p w14:paraId="445B1631">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近3年（自202</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rPr>
        <w:t>月1日起至本项目响应文件提交截止之日止）中国人民银行、中国证监会、证券业协会、交易商协会、发改委等监管机构及自律组织</w:t>
      </w:r>
      <w:r>
        <w:rPr>
          <w:rFonts w:hint="eastAsia" w:ascii="仿宋" w:hAnsi="仿宋" w:eastAsia="仿宋" w:cs="仿宋_GB2312"/>
          <w:color w:val="auto"/>
          <w:sz w:val="32"/>
          <w:szCs w:val="32"/>
          <w:highlight w:val="none"/>
          <w:lang w:val="en-US" w:eastAsia="zh-CN"/>
        </w:rPr>
        <w:t>发布</w:t>
      </w:r>
      <w:r>
        <w:rPr>
          <w:rFonts w:hint="eastAsia" w:ascii="仿宋" w:hAnsi="仿宋" w:eastAsia="仿宋" w:cs="仿宋_GB2312"/>
          <w:color w:val="auto"/>
          <w:sz w:val="32"/>
          <w:szCs w:val="32"/>
          <w:highlight w:val="none"/>
        </w:rPr>
        <w:t>的</w:t>
      </w:r>
      <w:r>
        <w:rPr>
          <w:rFonts w:hint="eastAsia" w:ascii="仿宋" w:hAnsi="仿宋" w:eastAsia="仿宋" w:cs="仿宋_GB2312"/>
          <w:color w:val="auto"/>
          <w:sz w:val="32"/>
          <w:szCs w:val="32"/>
          <w:highlight w:val="none"/>
          <w:lang w:val="en-US" w:eastAsia="zh-CN"/>
        </w:rPr>
        <w:t>监管</w:t>
      </w:r>
      <w:r>
        <w:rPr>
          <w:rFonts w:hint="eastAsia" w:ascii="仿宋" w:hAnsi="仿宋" w:eastAsia="仿宋" w:cs="仿宋_GB2312"/>
          <w:color w:val="auto"/>
          <w:sz w:val="32"/>
          <w:szCs w:val="32"/>
          <w:highlight w:val="none"/>
        </w:rPr>
        <w:t>处罚情况说明（监管处罚</w:t>
      </w:r>
      <w:r>
        <w:rPr>
          <w:rFonts w:hint="eastAsia" w:ascii="仿宋" w:hAnsi="仿宋" w:eastAsia="仿宋" w:cs="仿宋_GB2312"/>
          <w:color w:val="auto"/>
          <w:sz w:val="32"/>
          <w:szCs w:val="32"/>
          <w:highlight w:val="none"/>
          <w:lang w:val="en-US" w:eastAsia="zh-CN"/>
        </w:rPr>
        <w:t>包括</w:t>
      </w:r>
      <w:r>
        <w:rPr>
          <w:rFonts w:hint="eastAsia" w:ascii="仿宋" w:hAnsi="仿宋" w:eastAsia="仿宋" w:cs="仿宋_GB2312"/>
          <w:color w:val="auto"/>
          <w:sz w:val="32"/>
          <w:szCs w:val="32"/>
          <w:highlight w:val="none"/>
        </w:rPr>
        <w:t>行政处罚、行政监管措施、自律监管措施等</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按监管文号分别披露；</w:t>
      </w:r>
      <w:r>
        <w:rPr>
          <w:rFonts w:hint="eastAsia" w:ascii="仿宋" w:hAnsi="仿宋" w:eastAsia="仿宋" w:cs="仿宋_GB2312"/>
          <w:color w:val="auto"/>
          <w:sz w:val="32"/>
          <w:szCs w:val="32"/>
          <w:highlight w:val="none"/>
        </w:rPr>
        <w:t>加盖公章，</w:t>
      </w:r>
      <w:r>
        <w:rPr>
          <w:rFonts w:hint="eastAsia" w:ascii="仿宋" w:hAnsi="仿宋" w:eastAsia="仿宋" w:cs="仿宋_GB2312"/>
          <w:color w:val="auto"/>
          <w:sz w:val="32"/>
          <w:szCs w:val="32"/>
          <w:highlight w:val="none"/>
          <w:lang w:val="en-US" w:eastAsia="zh-CN"/>
        </w:rPr>
        <w:t>法定代表人或授权委托人</w:t>
      </w:r>
      <w:r>
        <w:rPr>
          <w:rFonts w:hint="eastAsia" w:ascii="仿宋" w:hAnsi="仿宋" w:eastAsia="仿宋" w:cs="仿宋_GB2312"/>
          <w:color w:val="auto"/>
          <w:sz w:val="32"/>
          <w:szCs w:val="32"/>
          <w:highlight w:val="none"/>
        </w:rPr>
        <w:t>签章）</w:t>
      </w:r>
    </w:p>
    <w:p w14:paraId="0B723FAF">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服务方案（内容应涵盖基础服务、增值服务和团队配置等内容。其中：基础服务应包括流程设计、跟踪安排、质量控制、沟通机制、团队配置、风险预案及绿色通道安排等方面内容，并对项目实施过程中的难点问题进行分析与提出应对措施；增值服务包括但不限于战略性同业交流与市场洞察、定制化能力提升培训、持续性法律合规咨询与顾问服务等；团队配置包括项目负责人的证券法律工作业绩、科创债/金控相关法律案例情况【包括项目时间、项目名称和担任的角色】，以及派驻现场服务团队人数和人员构成情况。）</w:t>
      </w:r>
    </w:p>
    <w:p w14:paraId="6A399568">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报价单（按附件</w:t>
      </w:r>
      <w:r>
        <w:rPr>
          <w:rFonts w:hint="eastAsia" w:ascii="仿宋" w:hAnsi="仿宋" w:eastAsia="仿宋" w:cs="仿宋_GB2312"/>
          <w:color w:val="auto"/>
          <w:sz w:val="32"/>
          <w:szCs w:val="32"/>
          <w:highlight w:val="none"/>
          <w:lang w:val="en-US" w:eastAsia="zh-CN"/>
        </w:rPr>
        <w:t>2</w:t>
      </w:r>
      <w:r>
        <w:rPr>
          <w:rFonts w:hint="eastAsia" w:ascii="仿宋" w:hAnsi="仿宋" w:eastAsia="仿宋" w:cs="仿宋_GB2312"/>
          <w:color w:val="auto"/>
          <w:sz w:val="32"/>
          <w:szCs w:val="32"/>
          <w:highlight w:val="none"/>
        </w:rPr>
        <w:t>样式）</w:t>
      </w:r>
    </w:p>
    <w:p w14:paraId="7B1FD376">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bookmarkStart w:id="26" w:name="_Toc81784940"/>
      <w:r>
        <w:rPr>
          <w:rFonts w:hint="eastAsia" w:ascii="仿宋" w:hAnsi="仿宋" w:eastAsia="仿宋" w:cs="仿宋_GB2312"/>
          <w:color w:val="auto"/>
          <w:sz w:val="32"/>
          <w:szCs w:val="32"/>
          <w:highlight w:val="none"/>
        </w:rPr>
        <w:t>廉洁承诺书</w:t>
      </w:r>
      <w:bookmarkEnd w:id="26"/>
      <w:r>
        <w:rPr>
          <w:rFonts w:hint="eastAsia" w:ascii="仿宋" w:hAnsi="仿宋" w:eastAsia="仿宋" w:cs="仿宋_GB2312"/>
          <w:color w:val="auto"/>
          <w:sz w:val="32"/>
          <w:szCs w:val="32"/>
          <w:highlight w:val="none"/>
        </w:rPr>
        <w:t>（按附件</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rPr>
        <w:t>样式）</w:t>
      </w:r>
    </w:p>
    <w:p w14:paraId="3C6F3A82">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无重大违法记录声明函（按附件</w:t>
      </w: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rPr>
        <w:t>样式）</w:t>
      </w:r>
    </w:p>
    <w:p w14:paraId="13D5BDA2">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比选</w:t>
      </w:r>
      <w:r>
        <w:rPr>
          <w:rFonts w:hint="eastAsia" w:ascii="仿宋" w:hAnsi="仿宋" w:eastAsia="仿宋" w:cs="仿宋_GB2312"/>
          <w:color w:val="auto"/>
          <w:sz w:val="32"/>
          <w:szCs w:val="32"/>
          <w:highlight w:val="none"/>
          <w:lang w:val="en-US" w:eastAsia="zh-CN"/>
        </w:rPr>
        <w:t>文件规定</w:t>
      </w:r>
      <w:r>
        <w:rPr>
          <w:rFonts w:hint="eastAsia" w:ascii="仿宋" w:hAnsi="仿宋" w:eastAsia="仿宋" w:cs="仿宋_GB2312"/>
          <w:color w:val="auto"/>
          <w:sz w:val="32"/>
          <w:szCs w:val="32"/>
          <w:highlight w:val="none"/>
        </w:rPr>
        <w:t>的其他资料</w:t>
      </w:r>
    </w:p>
    <w:p w14:paraId="3106A2F3">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注：编制响应文件时不得对比选文件的附件1-4的相应要素作实质性修改。</w:t>
      </w:r>
    </w:p>
    <w:p w14:paraId="73FAE009">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4C4651CA">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27" w:name="_Toc26112"/>
      <w:r>
        <w:rPr>
          <w:rFonts w:hint="eastAsia" w:ascii="仿宋" w:hAnsi="仿宋" w:eastAsia="仿宋" w:cs="黑体"/>
          <w:bCs/>
          <w:color w:val="auto"/>
          <w:sz w:val="32"/>
          <w:szCs w:val="32"/>
          <w:highlight w:val="none"/>
          <w:lang w:val="en-US" w:eastAsia="zh-CN"/>
        </w:rPr>
        <w:t>响应</w:t>
      </w:r>
      <w:r>
        <w:rPr>
          <w:rFonts w:hint="eastAsia" w:ascii="仿宋" w:hAnsi="仿宋" w:eastAsia="仿宋" w:cs="黑体"/>
          <w:bCs/>
          <w:color w:val="auto"/>
          <w:sz w:val="32"/>
          <w:szCs w:val="32"/>
          <w:highlight w:val="none"/>
          <w:lang w:val="en-US"/>
        </w:rPr>
        <w:t>文件样式</w:t>
      </w:r>
      <w:bookmarkEnd w:id="27"/>
    </w:p>
    <w:p w14:paraId="766C53DF">
      <w:p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文件封面的右上角清楚地注明“正本”或“副本”。正本和副本如有不一致之处，以正本为准。</w:t>
      </w:r>
    </w:p>
    <w:p w14:paraId="78EEA749">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28" w:name="_Toc25124"/>
      <w:r>
        <w:rPr>
          <w:rFonts w:hint="eastAsia" w:ascii="仿宋" w:hAnsi="仿宋" w:eastAsia="仿宋" w:cs="黑体"/>
          <w:bCs/>
          <w:color w:val="auto"/>
          <w:sz w:val="32"/>
          <w:szCs w:val="32"/>
          <w:highlight w:val="none"/>
          <w:lang w:val="en-US" w:eastAsia="zh-CN"/>
        </w:rPr>
        <w:t>响应文件</w:t>
      </w:r>
      <w:r>
        <w:rPr>
          <w:rFonts w:hint="eastAsia" w:ascii="仿宋" w:hAnsi="仿宋" w:eastAsia="仿宋" w:cs="黑体"/>
          <w:bCs/>
          <w:color w:val="auto"/>
          <w:sz w:val="32"/>
          <w:szCs w:val="32"/>
          <w:highlight w:val="none"/>
          <w:lang w:val="en-US"/>
        </w:rPr>
        <w:t>份数</w:t>
      </w:r>
      <w:bookmarkEnd w:id="28"/>
    </w:p>
    <w:p w14:paraId="24BE444B">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eastAsia="zh-CN"/>
        </w:rPr>
        <w:t>响应文件</w:t>
      </w:r>
      <w:r>
        <w:rPr>
          <w:rFonts w:hint="eastAsia" w:ascii="仿宋" w:hAnsi="仿宋" w:eastAsia="仿宋" w:cs="仿宋_GB2312"/>
          <w:color w:val="auto"/>
          <w:sz w:val="32"/>
          <w:szCs w:val="32"/>
          <w:highlight w:val="none"/>
        </w:rPr>
        <w:t>应准备正本</w:t>
      </w:r>
      <w:r>
        <w:rPr>
          <w:rFonts w:hint="eastAsia" w:ascii="仿宋" w:hAnsi="仿宋" w:eastAsia="仿宋" w:cs="仿宋_GB2312"/>
          <w:color w:val="auto"/>
          <w:sz w:val="32"/>
          <w:szCs w:val="32"/>
          <w:highlight w:val="none"/>
          <w:lang w:val="en-US" w:eastAsia="zh-CN"/>
        </w:rPr>
        <w:t>壹</w:t>
      </w:r>
      <w:r>
        <w:rPr>
          <w:rFonts w:hint="eastAsia" w:ascii="仿宋" w:hAnsi="仿宋" w:eastAsia="仿宋" w:cs="仿宋_GB2312"/>
          <w:color w:val="auto"/>
          <w:sz w:val="32"/>
          <w:szCs w:val="32"/>
          <w:highlight w:val="none"/>
        </w:rPr>
        <w:t>份，副本</w:t>
      </w:r>
      <w:r>
        <w:rPr>
          <w:rFonts w:hint="eastAsia" w:ascii="仿宋" w:hAnsi="仿宋" w:eastAsia="仿宋" w:cs="仿宋_GB2312"/>
          <w:color w:val="auto"/>
          <w:sz w:val="32"/>
          <w:szCs w:val="32"/>
          <w:highlight w:val="none"/>
          <w:lang w:val="en-US" w:eastAsia="zh-CN"/>
        </w:rPr>
        <w:t>陆</w:t>
      </w:r>
      <w:r>
        <w:rPr>
          <w:rFonts w:hint="eastAsia" w:ascii="仿宋" w:hAnsi="仿宋" w:eastAsia="仿宋" w:cs="仿宋_GB2312"/>
          <w:color w:val="auto"/>
          <w:sz w:val="32"/>
          <w:szCs w:val="32"/>
          <w:highlight w:val="none"/>
        </w:rPr>
        <w:t>份。副本可为正本的复印件。</w:t>
      </w:r>
      <w:r>
        <w:rPr>
          <w:rFonts w:hint="eastAsia" w:ascii="仿宋" w:hAnsi="仿宋" w:eastAsia="仿宋" w:cs="仿宋_GB2312"/>
          <w:color w:val="auto"/>
          <w:sz w:val="32"/>
          <w:szCs w:val="32"/>
          <w:highlight w:val="none"/>
          <w:lang w:val="en-US" w:eastAsia="zh-CN"/>
        </w:rPr>
        <w:t xml:space="preserve"> </w:t>
      </w:r>
    </w:p>
    <w:p w14:paraId="762ED5E4">
      <w:pPr>
        <w:spacing w:line="578" w:lineRule="exact"/>
        <w:ind w:firstLine="640" w:firstLineChars="200"/>
        <w:rPr>
          <w:rFonts w:ascii="仿宋" w:hAnsi="仿宋" w:eastAsia="仿宋" w:cs="仿宋_GB2312"/>
          <w:b w:val="0"/>
          <w:bCs w:val="0"/>
          <w:color w:val="auto"/>
          <w:sz w:val="32"/>
          <w:szCs w:val="32"/>
          <w:highlight w:val="none"/>
        </w:rPr>
      </w:pPr>
      <w:r>
        <w:rPr>
          <w:rFonts w:hint="eastAsia" w:ascii="仿宋" w:hAnsi="仿宋" w:eastAsia="仿宋" w:cs="仿宋_GB2312"/>
          <w:b w:val="0"/>
          <w:bCs w:val="0"/>
          <w:color w:val="auto"/>
          <w:sz w:val="32"/>
          <w:szCs w:val="32"/>
          <w:highlight w:val="none"/>
          <w:lang w:eastAsia="zh-CN"/>
        </w:rPr>
        <w:t>响应文件</w:t>
      </w:r>
      <w:r>
        <w:rPr>
          <w:rFonts w:hint="eastAsia" w:ascii="仿宋" w:hAnsi="仿宋" w:eastAsia="仿宋" w:cs="仿宋_GB2312"/>
          <w:b w:val="0"/>
          <w:bCs w:val="0"/>
          <w:color w:val="auto"/>
          <w:sz w:val="32"/>
          <w:szCs w:val="32"/>
          <w:highlight w:val="none"/>
        </w:rPr>
        <w:t>数量不符合要求的，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79F35E53">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r>
        <w:rPr>
          <w:rFonts w:hint="eastAsia" w:ascii="仿宋" w:hAnsi="仿宋" w:eastAsia="仿宋" w:cs="黑体"/>
          <w:bCs/>
          <w:color w:val="auto"/>
          <w:sz w:val="32"/>
          <w:szCs w:val="32"/>
          <w:highlight w:val="none"/>
          <w:lang w:val="en-US"/>
        </w:rPr>
        <w:t xml:space="preserve"> </w:t>
      </w:r>
      <w:bookmarkStart w:id="29" w:name="_Toc11376"/>
      <w:r>
        <w:rPr>
          <w:rFonts w:hint="eastAsia" w:ascii="仿宋" w:hAnsi="仿宋" w:eastAsia="仿宋" w:cs="黑体"/>
          <w:bCs/>
          <w:color w:val="auto"/>
          <w:sz w:val="32"/>
          <w:szCs w:val="32"/>
          <w:highlight w:val="none"/>
          <w:lang w:val="en-US" w:eastAsia="zh-CN"/>
        </w:rPr>
        <w:t>响应文件签章、密封与标志要求</w:t>
      </w:r>
      <w:bookmarkEnd w:id="29"/>
    </w:p>
    <w:p w14:paraId="3108D326">
      <w:pPr>
        <w:numPr>
          <w:ilvl w:val="0"/>
          <w:numId w:val="5"/>
        </w:numPr>
        <w:spacing w:line="578" w:lineRule="exact"/>
        <w:ind w:left="0" w:leftChars="0" w:firstLine="420" w:firstLineChars="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签名盖章要求</w:t>
      </w:r>
    </w:p>
    <w:p w14:paraId="4C6A31E3">
      <w:pPr>
        <w:numPr>
          <w:ilvl w:val="0"/>
          <w:numId w:val="0"/>
        </w:numPr>
        <w:spacing w:line="578"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1.</w:t>
      </w:r>
      <w:r>
        <w:rPr>
          <w:rFonts w:hint="eastAsia" w:ascii="仿宋" w:hAnsi="仿宋" w:eastAsia="仿宋" w:cs="仿宋_GB2312"/>
          <w:color w:val="auto"/>
          <w:sz w:val="32"/>
          <w:szCs w:val="32"/>
          <w:highlight w:val="none"/>
          <w:lang w:eastAsia="zh-CN"/>
        </w:rPr>
        <w:t>响应文件</w:t>
      </w:r>
      <w:r>
        <w:rPr>
          <w:rFonts w:hint="eastAsia" w:ascii="仿宋" w:hAnsi="仿宋" w:eastAsia="仿宋" w:cs="仿宋_GB2312"/>
          <w:color w:val="auto"/>
          <w:sz w:val="32"/>
          <w:szCs w:val="32"/>
          <w:highlight w:val="none"/>
        </w:rPr>
        <w:t>（正本）</w:t>
      </w:r>
      <w:r>
        <w:rPr>
          <w:rFonts w:hint="eastAsia" w:ascii="仿宋" w:hAnsi="仿宋" w:eastAsia="仿宋" w:cs="仿宋_GB2312"/>
          <w:b/>
          <w:bCs/>
          <w:color w:val="auto"/>
          <w:sz w:val="32"/>
          <w:szCs w:val="32"/>
          <w:highlight w:val="none"/>
        </w:rPr>
        <w:t>封面、骑缝</w:t>
      </w:r>
      <w:r>
        <w:rPr>
          <w:rFonts w:hint="eastAsia" w:ascii="仿宋" w:hAnsi="仿宋" w:eastAsia="仿宋" w:cs="仿宋_GB2312"/>
          <w:color w:val="auto"/>
          <w:sz w:val="32"/>
          <w:szCs w:val="32"/>
          <w:highlight w:val="none"/>
        </w:rPr>
        <w:t>需加盖</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人公章。</w:t>
      </w:r>
    </w:p>
    <w:p w14:paraId="16D0AE0D">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响应文件应用不褪色的材料书写或打印，并由响应人的法定代表人或其委托代理人在比选文件规定的位置按比选文件要求签名或盖章、盖单位法人章。委托代理人签名的，响应文件应附法定代表人签署的授权委托书。</w:t>
      </w:r>
    </w:p>
    <w:p w14:paraId="6DE0FE42">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3.响应文件应尽量避免涂改、行间插字或删除。如果出现上述情况，改动之处应加盖响应人的法定代表人名章或由响应人的法定代表人或其授权的代理人签名确认。</w:t>
      </w:r>
    </w:p>
    <w:p w14:paraId="78DAF2C0">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1F2B734C">
      <w:pPr>
        <w:numPr>
          <w:ilvl w:val="0"/>
          <w:numId w:val="5"/>
        </w:numPr>
        <w:spacing w:line="578" w:lineRule="exact"/>
        <w:ind w:left="0" w:leftChars="0" w:firstLine="420" w:firstLineChars="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装订要求</w:t>
      </w:r>
    </w:p>
    <w:p w14:paraId="1468A2E2">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每份</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w:t>
      </w:r>
      <w:r>
        <w:rPr>
          <w:rFonts w:hint="eastAsia" w:ascii="仿宋" w:hAnsi="仿宋" w:eastAsia="仿宋" w:cs="仿宋_GB2312"/>
          <w:color w:val="auto"/>
          <w:sz w:val="32"/>
          <w:szCs w:val="32"/>
          <w:highlight w:val="none"/>
          <w:lang w:val="en-US" w:eastAsia="zh-CN"/>
        </w:rPr>
        <w:t>应使</w:t>
      </w:r>
      <w:r>
        <w:rPr>
          <w:rFonts w:hint="eastAsia" w:ascii="仿宋" w:hAnsi="仿宋" w:eastAsia="仿宋" w:cs="仿宋_GB2312"/>
          <w:color w:val="auto"/>
          <w:sz w:val="32"/>
          <w:szCs w:val="32"/>
          <w:highlight w:val="none"/>
        </w:rPr>
        <w:t>用A4纸</w:t>
      </w:r>
      <w:r>
        <w:rPr>
          <w:rFonts w:hint="eastAsia" w:ascii="仿宋" w:hAnsi="仿宋" w:eastAsia="仿宋" w:cs="仿宋_GB2312"/>
          <w:color w:val="auto"/>
          <w:sz w:val="32"/>
          <w:szCs w:val="32"/>
          <w:highlight w:val="none"/>
          <w:lang w:val="en-US" w:eastAsia="zh-CN"/>
        </w:rPr>
        <w:t>且用不褪色的材料书写或打印，必须装订</w:t>
      </w:r>
      <w:r>
        <w:rPr>
          <w:rFonts w:hint="eastAsia" w:ascii="仿宋" w:hAnsi="仿宋" w:eastAsia="仿宋" w:cs="仿宋_GB2312"/>
          <w:color w:val="auto"/>
          <w:sz w:val="32"/>
          <w:szCs w:val="32"/>
          <w:highlight w:val="none"/>
        </w:rPr>
        <w:t>成册</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标注页码。</w:t>
      </w:r>
    </w:p>
    <w:p w14:paraId="74FADD00">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4DA7B646">
      <w:pPr>
        <w:numPr>
          <w:ilvl w:val="0"/>
          <w:numId w:val="5"/>
        </w:numPr>
        <w:spacing w:line="578" w:lineRule="exact"/>
        <w:ind w:left="0" w:leftChars="0" w:firstLine="420" w:firstLineChars="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密封要求</w:t>
      </w:r>
    </w:p>
    <w:p w14:paraId="64A10898">
      <w:pPr>
        <w:numPr>
          <w:ilvl w:val="0"/>
          <w:numId w:val="0"/>
        </w:numPr>
        <w:spacing w:line="578"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所有响应文件必须封入密封完好的信封或包装，</w:t>
      </w:r>
      <w:r>
        <w:rPr>
          <w:rFonts w:hint="eastAsia" w:ascii="仿宋" w:hAnsi="仿宋" w:eastAsia="仿宋" w:cs="仿宋_GB2312"/>
          <w:color w:val="auto"/>
          <w:sz w:val="32"/>
          <w:szCs w:val="32"/>
          <w:highlight w:val="none"/>
        </w:rPr>
        <w:t>并在封口处加盖响应人公章</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人应确保</w:t>
      </w:r>
      <w:r>
        <w:rPr>
          <w:rFonts w:hint="eastAsia" w:ascii="仿宋" w:hAnsi="仿宋" w:eastAsia="仿宋" w:cs="仿宋_GB2312"/>
          <w:color w:val="auto"/>
          <w:sz w:val="32"/>
          <w:szCs w:val="32"/>
          <w:highlight w:val="none"/>
          <w:lang w:eastAsia="zh-CN"/>
        </w:rPr>
        <w:t>响应文件</w:t>
      </w:r>
      <w:r>
        <w:rPr>
          <w:rFonts w:hint="eastAsia" w:ascii="仿宋" w:hAnsi="仿宋" w:eastAsia="仿宋" w:cs="仿宋_GB2312"/>
          <w:color w:val="auto"/>
          <w:sz w:val="32"/>
          <w:szCs w:val="32"/>
          <w:highlight w:val="none"/>
        </w:rPr>
        <w:t>外包装材料不留有可在包封后添加或抽取</w:t>
      </w:r>
      <w:r>
        <w:rPr>
          <w:rFonts w:hint="eastAsia" w:ascii="仿宋" w:hAnsi="仿宋" w:eastAsia="仿宋" w:cs="仿宋_GB2312"/>
          <w:color w:val="auto"/>
          <w:sz w:val="32"/>
          <w:szCs w:val="32"/>
          <w:highlight w:val="none"/>
          <w:lang w:eastAsia="zh-CN"/>
        </w:rPr>
        <w:t>响应文件</w:t>
      </w:r>
      <w:r>
        <w:rPr>
          <w:rFonts w:hint="eastAsia" w:ascii="仿宋" w:hAnsi="仿宋" w:eastAsia="仿宋" w:cs="仿宋_GB2312"/>
          <w:color w:val="auto"/>
          <w:sz w:val="32"/>
          <w:szCs w:val="32"/>
          <w:highlight w:val="none"/>
        </w:rPr>
        <w:t>的空隙。</w:t>
      </w:r>
    </w:p>
    <w:p w14:paraId="1EEA52A6">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0AA49372">
      <w:pPr>
        <w:numPr>
          <w:ilvl w:val="0"/>
          <w:numId w:val="5"/>
        </w:numPr>
        <w:spacing w:line="578" w:lineRule="exact"/>
        <w:ind w:left="0" w:leftChars="0" w:firstLine="420" w:firstLineChars="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包装封面要求</w:t>
      </w:r>
    </w:p>
    <w:p w14:paraId="5E4BED95">
      <w:p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人应在文件包装</w:t>
      </w:r>
      <w:r>
        <w:rPr>
          <w:rFonts w:hint="eastAsia" w:ascii="仿宋" w:hAnsi="仿宋" w:eastAsia="仿宋" w:cs="仿宋_GB2312"/>
          <w:color w:val="auto"/>
          <w:sz w:val="32"/>
          <w:szCs w:val="32"/>
          <w:highlight w:val="none"/>
          <w:lang w:val="en-US" w:eastAsia="zh-CN"/>
        </w:rPr>
        <w:t>的封面上注明</w:t>
      </w:r>
      <w:r>
        <w:rPr>
          <w:rFonts w:hint="eastAsia" w:ascii="仿宋" w:hAnsi="仿宋" w:eastAsia="仿宋" w:cs="仿宋_GB2312"/>
          <w:color w:val="auto"/>
          <w:sz w:val="32"/>
          <w:szCs w:val="32"/>
          <w:highlight w:val="none"/>
        </w:rPr>
        <w:t>以下信息：</w:t>
      </w:r>
    </w:p>
    <w:tbl>
      <w:tblPr>
        <w:tblStyle w:val="16"/>
        <w:tblW w:w="0" w:type="auto"/>
        <w:tblInd w:w="8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98"/>
      </w:tblGrid>
      <w:tr w14:paraId="7F078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98" w:type="dxa"/>
            <w:tcBorders>
              <w:top w:val="single" w:color="auto" w:sz="4" w:space="0"/>
              <w:left w:val="single" w:color="auto" w:sz="4" w:space="0"/>
              <w:bottom w:val="single" w:color="auto" w:sz="4" w:space="0"/>
              <w:right w:val="single" w:color="auto" w:sz="4" w:space="0"/>
            </w:tcBorders>
          </w:tcPr>
          <w:p w14:paraId="70F32F04">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p>
          <w:p w14:paraId="06C21B22">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比选人名称：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C187A57">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比选项目名称：</w:t>
            </w:r>
            <w:r>
              <w:rPr>
                <w:rFonts w:hint="eastAsia" w:ascii="仿宋" w:hAnsi="仿宋" w:eastAsia="仿宋" w:cs="仿宋"/>
                <w:color w:val="auto"/>
                <w:sz w:val="24"/>
                <w:szCs w:val="24"/>
                <w:highlight w:val="none"/>
                <w:u w:val="single"/>
              </w:rPr>
              <w:t xml:space="preserve">                  </w:t>
            </w:r>
          </w:p>
          <w:p w14:paraId="3306FEE8">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响应人名称：</w:t>
            </w:r>
            <w:r>
              <w:rPr>
                <w:rFonts w:hint="eastAsia" w:ascii="仿宋" w:hAnsi="仿宋" w:eastAsia="仿宋" w:cs="仿宋"/>
                <w:color w:val="auto"/>
                <w:sz w:val="24"/>
                <w:szCs w:val="24"/>
                <w:highlight w:val="none"/>
                <w:u w:val="single"/>
              </w:rPr>
              <w:t xml:space="preserve">                    </w:t>
            </w:r>
          </w:p>
          <w:p w14:paraId="623C91C0">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2A078B3">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9E72A5E">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1E31D1C">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 xml:space="preserve">电子邮箱：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C9BFA2C">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在截止时间前不得启封</w:t>
            </w:r>
          </w:p>
          <w:p w14:paraId="2B31720D">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firstLineChars="200"/>
              <w:textAlignment w:val="auto"/>
              <w:rPr>
                <w:rFonts w:hint="eastAsia" w:ascii="仿宋" w:hAnsi="仿宋" w:eastAsia="仿宋" w:cs="仿宋"/>
                <w:b/>
                <w:bCs/>
                <w:color w:val="auto"/>
                <w:sz w:val="24"/>
                <w:szCs w:val="24"/>
                <w:highlight w:val="none"/>
              </w:rPr>
            </w:pPr>
          </w:p>
        </w:tc>
      </w:tr>
    </w:tbl>
    <w:p w14:paraId="2B572523">
      <w:pPr>
        <w:numPr>
          <w:ilvl w:val="0"/>
          <w:numId w:val="0"/>
        </w:numPr>
        <w:spacing w:line="578" w:lineRule="exact"/>
        <w:ind w:firstLine="640" w:firstLineChars="200"/>
        <w:rPr>
          <w:rFonts w:ascii="仿宋" w:hAnsi="仿宋" w:eastAsia="仿宋" w:cs="黑体"/>
          <w:bCs/>
          <w:color w:val="auto"/>
          <w:sz w:val="32"/>
          <w:szCs w:val="32"/>
          <w:highlight w:val="none"/>
          <w:lang w:val="en-US"/>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47D07A4A">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30" w:name="_Toc14996"/>
      <w:r>
        <w:rPr>
          <w:rFonts w:hint="eastAsia" w:ascii="仿宋" w:hAnsi="仿宋" w:eastAsia="仿宋" w:cs="黑体"/>
          <w:bCs/>
          <w:color w:val="auto"/>
          <w:sz w:val="32"/>
          <w:szCs w:val="32"/>
          <w:highlight w:val="none"/>
          <w:lang w:val="en-US" w:eastAsia="zh-CN"/>
        </w:rPr>
        <w:t>响应文件</w:t>
      </w:r>
      <w:r>
        <w:rPr>
          <w:rFonts w:hint="eastAsia" w:ascii="仿宋" w:hAnsi="仿宋" w:eastAsia="仿宋" w:cs="黑体"/>
          <w:bCs/>
          <w:color w:val="auto"/>
          <w:sz w:val="32"/>
          <w:szCs w:val="32"/>
          <w:highlight w:val="none"/>
          <w:lang w:val="en-US"/>
        </w:rPr>
        <w:t>的</w:t>
      </w:r>
      <w:bookmarkEnd w:id="30"/>
      <w:r>
        <w:rPr>
          <w:rFonts w:hint="eastAsia" w:ascii="仿宋" w:hAnsi="仿宋" w:eastAsia="仿宋" w:cs="黑体"/>
          <w:bCs/>
          <w:color w:val="auto"/>
          <w:sz w:val="32"/>
          <w:szCs w:val="32"/>
          <w:highlight w:val="none"/>
          <w:lang w:val="en-US" w:eastAsia="zh-CN"/>
        </w:rPr>
        <w:t>的补充、修改与撤回</w:t>
      </w:r>
    </w:p>
    <w:p w14:paraId="7452D59C">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（一）响应人在递交响应文件以后，在规定的响应文件送达截止时间之前，应以书面形式递交补充、修改文件。补充、修改的内容为响应文件的组成部分。</w:t>
      </w:r>
    </w:p>
    <w:p w14:paraId="3DBE3222">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（二）响应人对响应文件的补充、修改，应按前述规定进行密封和标志，并在响应文件密封袋上清楚标明“补充、修改”字样。</w:t>
      </w:r>
    </w:p>
    <w:p w14:paraId="5509481A">
      <w:pPr>
        <w:numPr>
          <w:ilvl w:val="0"/>
          <w:numId w:val="0"/>
        </w:numPr>
        <w:spacing w:line="578" w:lineRule="exact"/>
        <w:ind w:firstLine="640" w:firstLineChars="200"/>
        <w:rPr>
          <w:rFonts w:hint="default" w:ascii="仿宋" w:hAnsi="仿宋" w:eastAsia="仿宋" w:cs="仿宋_GB2312"/>
          <w:color w:val="auto"/>
          <w:sz w:val="32"/>
          <w:szCs w:val="32"/>
          <w:highlight w:val="none"/>
          <w:lang w:val="en-US"/>
        </w:rPr>
      </w:pPr>
      <w:r>
        <w:rPr>
          <w:rFonts w:hint="eastAsia" w:ascii="仿宋" w:hAnsi="仿宋" w:eastAsia="仿宋" w:cs="仿宋_GB2312"/>
          <w:color w:val="auto"/>
          <w:sz w:val="32"/>
          <w:szCs w:val="32"/>
          <w:highlight w:val="none"/>
          <w:lang w:val="en-US" w:eastAsia="zh-CN"/>
        </w:rPr>
        <w:t>（三）响应人在递交响应文件以后，在规定的响应文件送达截止时间之前，可采用邮件等书面形式通知采购人撤回已递交的响应文件。</w:t>
      </w:r>
    </w:p>
    <w:p w14:paraId="3A82DA0D">
      <w:pPr>
        <w:rPr>
          <w:color w:val="auto"/>
          <w:highlight w:val="none"/>
          <w:lang w:val="en-US"/>
        </w:rPr>
      </w:pPr>
      <w:r>
        <w:rPr>
          <w:color w:val="auto"/>
          <w:highlight w:val="none"/>
          <w:lang w:val="en-US"/>
        </w:rPr>
        <w:br w:type="page"/>
      </w:r>
    </w:p>
    <w:p w14:paraId="4F53721F">
      <w:pPr>
        <w:numPr>
          <w:ilvl w:val="0"/>
          <w:numId w:val="2"/>
        </w:numPr>
        <w:spacing w:line="578" w:lineRule="exact"/>
        <w:ind w:firstLine="0"/>
        <w:jc w:val="center"/>
        <w:outlineLvl w:val="0"/>
        <w:rPr>
          <w:rFonts w:hint="eastAsia" w:ascii="黑体" w:hAnsi="黑体" w:eastAsia="黑体" w:cs="黑体"/>
          <w:b/>
          <w:bCs/>
          <w:color w:val="auto"/>
          <w:sz w:val="36"/>
          <w:szCs w:val="36"/>
          <w:highlight w:val="none"/>
        </w:rPr>
      </w:pPr>
      <w:bookmarkStart w:id="31" w:name="_Toc3461"/>
      <w:r>
        <w:rPr>
          <w:rFonts w:hint="eastAsia" w:ascii="黑体" w:hAnsi="黑体" w:eastAsia="黑体" w:cs="黑体"/>
          <w:b/>
          <w:bCs/>
          <w:color w:val="auto"/>
          <w:sz w:val="36"/>
          <w:szCs w:val="36"/>
          <w:highlight w:val="none"/>
          <w:lang w:val="en-US" w:eastAsia="zh-CN"/>
        </w:rPr>
        <w:t>评审办法</w:t>
      </w:r>
      <w:bookmarkEnd w:id="31"/>
    </w:p>
    <w:p w14:paraId="7480AB32">
      <w:pPr>
        <w:spacing w:line="578" w:lineRule="exact"/>
        <w:ind w:firstLine="640" w:firstLineChars="200"/>
        <w:rPr>
          <w:rFonts w:hint="eastAsia" w:ascii="仿宋" w:hAnsi="仿宋" w:eastAsia="仿宋" w:cs="仿宋_GB2312"/>
          <w:color w:val="auto"/>
          <w:sz w:val="32"/>
          <w:szCs w:val="32"/>
          <w:highlight w:val="none"/>
        </w:rPr>
      </w:pPr>
    </w:p>
    <w:p w14:paraId="70F31372">
      <w:pPr>
        <w:pStyle w:val="3"/>
        <w:numPr>
          <w:ilvl w:val="0"/>
          <w:numId w:val="6"/>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32" w:name="_Toc3915"/>
      <w:bookmarkStart w:id="33" w:name="_Toc475527270"/>
      <w:bookmarkStart w:id="34" w:name="_Toc441838021"/>
      <w:bookmarkStart w:id="35" w:name="_Toc441837630"/>
      <w:bookmarkStart w:id="36" w:name="_Toc486213608"/>
      <w:bookmarkStart w:id="37" w:name="_Toc53994649"/>
      <w:bookmarkStart w:id="38" w:name="_Toc446323063"/>
      <w:bookmarkStart w:id="39" w:name="_Toc476040097"/>
      <w:bookmarkStart w:id="40" w:name="_Toc486212892"/>
      <w:r>
        <w:rPr>
          <w:rFonts w:hint="eastAsia" w:ascii="仿宋" w:hAnsi="仿宋" w:eastAsia="仿宋" w:cs="黑体"/>
          <w:bCs/>
          <w:color w:val="auto"/>
          <w:sz w:val="32"/>
          <w:szCs w:val="32"/>
          <w:highlight w:val="none"/>
          <w:lang w:val="en-US" w:eastAsia="zh-CN"/>
        </w:rPr>
        <w:t>评审</w:t>
      </w:r>
      <w:r>
        <w:rPr>
          <w:rFonts w:hint="eastAsia" w:ascii="仿宋" w:hAnsi="仿宋" w:eastAsia="仿宋" w:cs="黑体"/>
          <w:bCs/>
          <w:color w:val="auto"/>
          <w:sz w:val="32"/>
          <w:szCs w:val="32"/>
          <w:highlight w:val="none"/>
          <w:lang w:val="en-US"/>
        </w:rPr>
        <w:t>方法</w:t>
      </w:r>
      <w:bookmarkEnd w:id="32"/>
    </w:p>
    <w:p w14:paraId="4C8A1BD0">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本次</w:t>
      </w:r>
      <w:r>
        <w:rPr>
          <w:rFonts w:hint="eastAsia" w:ascii="仿宋" w:hAnsi="仿宋" w:eastAsia="仿宋" w:cs="仿宋_GB2312"/>
          <w:color w:val="auto"/>
          <w:sz w:val="32"/>
          <w:szCs w:val="32"/>
          <w:highlight w:val="none"/>
          <w:lang w:eastAsia="zh-CN"/>
        </w:rPr>
        <w:t>评</w:t>
      </w:r>
      <w:r>
        <w:rPr>
          <w:rFonts w:hint="eastAsia" w:ascii="仿宋" w:hAnsi="仿宋" w:eastAsia="仿宋" w:cs="仿宋_GB2312"/>
          <w:color w:val="auto"/>
          <w:sz w:val="32"/>
          <w:szCs w:val="32"/>
          <w:highlight w:val="none"/>
          <w:lang w:val="en-US" w:eastAsia="zh-CN"/>
        </w:rPr>
        <w:t>审</w:t>
      </w:r>
      <w:r>
        <w:rPr>
          <w:rFonts w:hint="eastAsia" w:ascii="仿宋" w:hAnsi="仿宋" w:eastAsia="仿宋" w:cs="仿宋_GB2312"/>
          <w:color w:val="auto"/>
          <w:sz w:val="32"/>
          <w:szCs w:val="32"/>
          <w:highlight w:val="none"/>
        </w:rPr>
        <w:t>采用综合</w:t>
      </w:r>
      <w:r>
        <w:rPr>
          <w:rFonts w:hint="eastAsia" w:ascii="仿宋" w:hAnsi="仿宋" w:eastAsia="仿宋" w:cs="仿宋_GB2312"/>
          <w:color w:val="auto"/>
          <w:sz w:val="32"/>
          <w:szCs w:val="32"/>
          <w:highlight w:val="none"/>
          <w:lang w:val="en-US" w:eastAsia="zh-CN"/>
        </w:rPr>
        <w:t>评价</w:t>
      </w:r>
      <w:r>
        <w:rPr>
          <w:rFonts w:hint="eastAsia" w:ascii="仿宋" w:hAnsi="仿宋" w:eastAsia="仿宋" w:cs="仿宋_GB2312"/>
          <w:color w:val="auto"/>
          <w:sz w:val="32"/>
          <w:szCs w:val="32"/>
          <w:highlight w:val="none"/>
        </w:rPr>
        <w:t>法进行评价</w:t>
      </w:r>
      <w:r>
        <w:rPr>
          <w:rFonts w:hint="eastAsia" w:ascii="仿宋" w:hAnsi="仿宋" w:eastAsia="仿宋" w:cs="仿宋_GB2312"/>
          <w:color w:val="auto"/>
          <w:sz w:val="32"/>
          <w:szCs w:val="32"/>
          <w:highlight w:val="none"/>
          <w:lang w:val="en-US" w:eastAsia="zh-CN"/>
        </w:rPr>
        <w:t>（总分100分）。综合得分=“报价”得分+“服务方案”得分+“人员资质与团队业绩”得分。</w:t>
      </w:r>
    </w:p>
    <w:p w14:paraId="7A190D5D">
      <w:pPr>
        <w:pStyle w:val="3"/>
        <w:numPr>
          <w:ilvl w:val="0"/>
          <w:numId w:val="6"/>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41" w:name="_Toc540"/>
      <w:r>
        <w:rPr>
          <w:rFonts w:hint="eastAsia" w:ascii="仿宋" w:hAnsi="仿宋" w:eastAsia="仿宋" w:cs="黑体"/>
          <w:bCs/>
          <w:color w:val="auto"/>
          <w:sz w:val="32"/>
          <w:szCs w:val="32"/>
          <w:highlight w:val="none"/>
          <w:lang w:val="en-US"/>
        </w:rPr>
        <w:t>评</w:t>
      </w:r>
      <w:r>
        <w:rPr>
          <w:rFonts w:hint="eastAsia" w:ascii="仿宋" w:hAnsi="仿宋" w:eastAsia="仿宋" w:cs="黑体"/>
          <w:bCs/>
          <w:color w:val="auto"/>
          <w:sz w:val="32"/>
          <w:szCs w:val="32"/>
          <w:highlight w:val="none"/>
          <w:lang w:val="en-US" w:eastAsia="zh-CN"/>
        </w:rPr>
        <w:t>审标准</w:t>
      </w:r>
      <w:bookmarkEnd w:id="41"/>
    </w:p>
    <w:p w14:paraId="3DBBB92F">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（一）资格审查</w:t>
      </w:r>
    </w:p>
    <w:p w14:paraId="74B44D71">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评审小组根据《资格审查表》内容进行初步审查，响应人必须符合资质审查和形式审查的所有要求才能参与下一步评审，只要出现一项不符合的情形，由评审小组作否决投标处理。</w:t>
      </w:r>
    </w:p>
    <w:p w14:paraId="7F95F3AA">
      <w:pPr>
        <w:numPr>
          <w:ilvl w:val="0"/>
          <w:numId w:val="0"/>
        </w:numPr>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《资格审查表》如下：</w:t>
      </w:r>
    </w:p>
    <w:tbl>
      <w:tblPr>
        <w:tblStyle w:val="16"/>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343"/>
        <w:gridCol w:w="6652"/>
      </w:tblGrid>
      <w:tr w14:paraId="0644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4" w:type="dxa"/>
            <w:gridSpan w:val="2"/>
            <w:vAlign w:val="center"/>
          </w:tcPr>
          <w:p w14:paraId="0B218723">
            <w:pPr>
              <w:jc w:val="center"/>
              <w:rPr>
                <w:rFonts w:hint="default" w:ascii="Times New Roman" w:hAnsi="Times New Roman" w:eastAsia="仿宋_GB2312" w:cs="Times New Roman"/>
                <w:b/>
                <w:bCs w:val="0"/>
                <w:color w:val="auto"/>
                <w:sz w:val="24"/>
                <w:szCs w:val="24"/>
                <w:highlight w:val="none"/>
                <w:u w:val="none"/>
                <w:lang w:val="en-US" w:eastAsia="zh-CN"/>
              </w:rPr>
            </w:pPr>
            <w:r>
              <w:rPr>
                <w:rFonts w:hint="default" w:ascii="Times New Roman" w:hAnsi="Times New Roman" w:eastAsia="仿宋_GB2312" w:cs="Times New Roman"/>
                <w:b/>
                <w:bCs w:val="0"/>
                <w:color w:val="auto"/>
                <w:sz w:val="24"/>
                <w:szCs w:val="24"/>
                <w:highlight w:val="none"/>
                <w:u w:val="none"/>
                <w:lang w:val="en-US" w:eastAsia="zh-CN"/>
              </w:rPr>
              <w:t>评审因素</w:t>
            </w:r>
          </w:p>
        </w:tc>
        <w:tc>
          <w:tcPr>
            <w:tcW w:w="6652" w:type="dxa"/>
            <w:vAlign w:val="center"/>
          </w:tcPr>
          <w:p w14:paraId="43A0D03A">
            <w:pPr>
              <w:jc w:val="center"/>
              <w:rPr>
                <w:rFonts w:hint="default" w:ascii="Times New Roman" w:hAnsi="Times New Roman" w:eastAsia="仿宋_GB2312" w:cs="Times New Roman"/>
                <w:b/>
                <w:bCs w:val="0"/>
                <w:color w:val="auto"/>
                <w:sz w:val="24"/>
                <w:szCs w:val="24"/>
                <w:highlight w:val="none"/>
                <w:u w:val="none"/>
                <w:lang w:val="en-US" w:eastAsia="zh-CN"/>
              </w:rPr>
            </w:pPr>
            <w:r>
              <w:rPr>
                <w:rFonts w:hint="default" w:ascii="Times New Roman" w:hAnsi="Times New Roman" w:eastAsia="仿宋_GB2312" w:cs="Times New Roman"/>
                <w:b/>
                <w:bCs w:val="0"/>
                <w:color w:val="auto"/>
                <w:sz w:val="24"/>
                <w:szCs w:val="24"/>
                <w:highlight w:val="none"/>
                <w:u w:val="none"/>
                <w:lang w:val="en-US" w:eastAsia="zh-CN"/>
              </w:rPr>
              <w:t>评审标准</w:t>
            </w:r>
          </w:p>
        </w:tc>
      </w:tr>
      <w:tr w14:paraId="0A0D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Merge w:val="restart"/>
            <w:textDirection w:val="tbRlV"/>
            <w:vAlign w:val="center"/>
          </w:tcPr>
          <w:p w14:paraId="0095C8A2">
            <w:pPr>
              <w:ind w:left="113" w:right="113"/>
              <w:jc w:val="center"/>
              <w:rPr>
                <w:rFonts w:hint="default" w:ascii="Times New Roman" w:hAnsi="Times New Roman" w:eastAsia="仿宋_GB2312" w:cs="Times New Roman"/>
                <w:b w:val="0"/>
                <w:bCs/>
                <w:color w:val="auto"/>
                <w:sz w:val="24"/>
                <w:szCs w:val="24"/>
                <w:highlight w:val="none"/>
                <w:u w:val="none"/>
                <w:lang w:val="en-US" w:eastAsia="zh-CN"/>
              </w:rPr>
            </w:pPr>
            <w:r>
              <w:rPr>
                <w:rFonts w:hint="default" w:ascii="Times New Roman" w:hAnsi="Times New Roman" w:eastAsia="仿宋_GB2312" w:cs="Times New Roman"/>
                <w:b w:val="0"/>
                <w:bCs/>
                <w:color w:val="auto"/>
                <w:sz w:val="24"/>
                <w:szCs w:val="24"/>
                <w:highlight w:val="none"/>
                <w:u w:val="none"/>
                <w:lang w:val="en-US" w:eastAsia="zh-CN"/>
              </w:rPr>
              <w:t>资质审查</w:t>
            </w:r>
          </w:p>
        </w:tc>
        <w:tc>
          <w:tcPr>
            <w:tcW w:w="1343" w:type="dxa"/>
            <w:vMerge w:val="restart"/>
            <w:vAlign w:val="center"/>
          </w:tcPr>
          <w:p w14:paraId="6B1E0470">
            <w:pPr>
              <w:jc w:val="center"/>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GB"/>
              </w:rPr>
              <w:t>资质</w:t>
            </w:r>
            <w:r>
              <w:rPr>
                <w:rFonts w:hint="eastAsia" w:ascii="Times New Roman" w:hAnsi="Times New Roman" w:eastAsia="仿宋_GB2312" w:cs="Times New Roman"/>
                <w:b w:val="0"/>
                <w:bCs/>
                <w:color w:val="auto"/>
                <w:sz w:val="24"/>
                <w:szCs w:val="24"/>
                <w:highlight w:val="none"/>
                <w:lang w:val="en-US" w:eastAsia="zh-CN"/>
              </w:rPr>
              <w:t>要求</w:t>
            </w:r>
          </w:p>
        </w:tc>
        <w:tc>
          <w:tcPr>
            <w:tcW w:w="6652" w:type="dxa"/>
            <w:vAlign w:val="center"/>
          </w:tcPr>
          <w:p w14:paraId="61813999">
            <w:pPr>
              <w:jc w:val="both"/>
              <w:rPr>
                <w:rFonts w:hint="default" w:ascii="Times New Roman" w:hAnsi="Times New Roman" w:eastAsia="仿宋_GB2312" w:cs="Times New Roman"/>
                <w:b w:val="0"/>
                <w:bCs/>
                <w:color w:val="auto"/>
                <w:sz w:val="24"/>
                <w:szCs w:val="24"/>
                <w:highlight w:val="none"/>
                <w:lang w:val="en-GB"/>
              </w:rPr>
            </w:pPr>
            <w:r>
              <w:rPr>
                <w:rFonts w:hint="default" w:ascii="Times New Roman" w:hAnsi="Times New Roman" w:eastAsia="仿宋_GB2312" w:cs="Times New Roman"/>
                <w:b w:val="0"/>
                <w:bCs/>
                <w:color w:val="auto"/>
                <w:sz w:val="24"/>
                <w:szCs w:val="24"/>
                <w:highlight w:val="none"/>
                <w:lang w:val="en-GB"/>
              </w:rPr>
              <w:t>具有独立法人资格并依法取得企业法人营业执照</w:t>
            </w:r>
            <w:r>
              <w:rPr>
                <w:rFonts w:hint="eastAsia" w:ascii="Times New Roman" w:hAnsi="Times New Roman" w:eastAsia="仿宋_GB2312" w:cs="Times New Roman"/>
                <w:b w:val="0"/>
                <w:bCs/>
                <w:color w:val="auto"/>
                <w:sz w:val="24"/>
                <w:szCs w:val="24"/>
                <w:highlight w:val="none"/>
                <w:lang w:val="en-US" w:eastAsia="zh-CN"/>
              </w:rPr>
              <w:t>，具备证券法律业务备案资格（证监会备案）</w:t>
            </w:r>
            <w:r>
              <w:rPr>
                <w:rFonts w:hint="eastAsia" w:ascii="Times New Roman" w:hAnsi="Times New Roman" w:eastAsia="仿宋_GB2312" w:cs="Times New Roman"/>
                <w:b w:val="0"/>
                <w:bCs/>
                <w:color w:val="auto"/>
                <w:sz w:val="24"/>
                <w:szCs w:val="24"/>
                <w:highlight w:val="none"/>
                <w:lang w:val="en-GB" w:eastAsia="zh-CN"/>
              </w:rPr>
              <w:t>（</w:t>
            </w:r>
            <w:r>
              <w:rPr>
                <w:rFonts w:hint="eastAsia" w:ascii="Times New Roman" w:hAnsi="Times New Roman" w:eastAsia="仿宋_GB2312" w:cs="Times New Roman"/>
                <w:b w:val="0"/>
                <w:bCs/>
                <w:color w:val="auto"/>
                <w:sz w:val="24"/>
                <w:szCs w:val="24"/>
                <w:highlight w:val="none"/>
                <w:lang w:val="en-US" w:eastAsia="zh-CN"/>
              </w:rPr>
              <w:t>提供营业执照、备案函复印件并加盖公章）</w:t>
            </w:r>
          </w:p>
        </w:tc>
      </w:tr>
      <w:tr w14:paraId="1D67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541" w:type="dxa"/>
            <w:vMerge w:val="continue"/>
            <w:textDirection w:val="tbRlV"/>
            <w:vAlign w:val="center"/>
          </w:tcPr>
          <w:p w14:paraId="19F5DFA6">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Merge w:val="continue"/>
            <w:vAlign w:val="center"/>
          </w:tcPr>
          <w:p w14:paraId="0E988F0A">
            <w:pPr>
              <w:jc w:val="center"/>
              <w:rPr>
                <w:rFonts w:hint="default" w:ascii="Times New Roman" w:hAnsi="Times New Roman" w:eastAsia="仿宋_GB2312" w:cs="Times New Roman"/>
                <w:b w:val="0"/>
                <w:bCs/>
                <w:color w:val="auto"/>
                <w:sz w:val="24"/>
                <w:szCs w:val="24"/>
                <w:highlight w:val="none"/>
                <w:lang w:val="en-GB"/>
              </w:rPr>
            </w:pPr>
          </w:p>
        </w:tc>
        <w:tc>
          <w:tcPr>
            <w:tcW w:w="6652" w:type="dxa"/>
            <w:vAlign w:val="center"/>
          </w:tcPr>
          <w:p w14:paraId="3B5C48FF">
            <w:pPr>
              <w:jc w:val="both"/>
              <w:rPr>
                <w:rFonts w:hint="default" w:ascii="Times New Roman" w:hAnsi="Times New Roman" w:eastAsia="仿宋_GB2312" w:cs="Times New Roman"/>
                <w:b w:val="0"/>
                <w:bCs/>
                <w:color w:val="auto"/>
                <w:sz w:val="24"/>
                <w:szCs w:val="24"/>
                <w:highlight w:val="none"/>
                <w:lang w:val="en-US"/>
              </w:rPr>
            </w:pPr>
            <w:r>
              <w:rPr>
                <w:rFonts w:hint="eastAsia" w:ascii="Times New Roman" w:hAnsi="Times New Roman" w:eastAsia="仿宋_GB2312" w:cs="Times New Roman"/>
                <w:b w:val="0"/>
                <w:bCs/>
                <w:color w:val="auto"/>
                <w:sz w:val="24"/>
                <w:szCs w:val="24"/>
                <w:highlight w:val="none"/>
                <w:lang w:val="en-US" w:eastAsia="zh-CN"/>
              </w:rPr>
              <w:t>在中华人民共和国境内依法设立的律师事务所，提供有效的律师事务所执业许可证。若供应商为分所，除须提供分所的执业证书外，须同时提供律师事务所总所执业证书及总所的授权书（提供律师事务所执业许可证、总所的授权书（如有））</w:t>
            </w:r>
          </w:p>
        </w:tc>
      </w:tr>
      <w:tr w14:paraId="0922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41" w:type="dxa"/>
            <w:vMerge w:val="continue"/>
            <w:textDirection w:val="tbRlV"/>
            <w:vAlign w:val="center"/>
          </w:tcPr>
          <w:p w14:paraId="32B929CE">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Align w:val="center"/>
          </w:tcPr>
          <w:p w14:paraId="31BCEC79">
            <w:pPr>
              <w:jc w:val="center"/>
              <w:rPr>
                <w:rFonts w:hint="default" w:ascii="Times New Roman" w:hAnsi="Times New Roman" w:eastAsia="仿宋_GB2312" w:cs="Times New Roman"/>
                <w:b w:val="0"/>
                <w:bCs/>
                <w:color w:val="auto"/>
                <w:sz w:val="24"/>
                <w:szCs w:val="24"/>
                <w:highlight w:val="none"/>
                <w:lang w:val="en-GB"/>
              </w:rPr>
            </w:pPr>
            <w:r>
              <w:rPr>
                <w:rFonts w:hint="default" w:ascii="Times New Roman" w:hAnsi="Times New Roman" w:eastAsia="仿宋_GB2312" w:cs="Times New Roman"/>
                <w:b w:val="0"/>
                <w:bCs/>
                <w:color w:val="auto"/>
                <w:sz w:val="24"/>
                <w:szCs w:val="24"/>
                <w:highlight w:val="none"/>
                <w:lang w:val="en-GB"/>
              </w:rPr>
              <w:t>监管合规</w:t>
            </w:r>
          </w:p>
        </w:tc>
        <w:tc>
          <w:tcPr>
            <w:tcW w:w="6652" w:type="dxa"/>
            <w:vAlign w:val="center"/>
          </w:tcPr>
          <w:p w14:paraId="7B6A4018">
            <w:pPr>
              <w:rPr>
                <w:rFonts w:hint="default" w:ascii="Times New Roman" w:hAnsi="Times New Roman" w:eastAsia="仿宋_GB2312" w:cs="Times New Roman"/>
                <w:b w:val="0"/>
                <w:bCs/>
                <w:color w:val="auto"/>
                <w:sz w:val="24"/>
                <w:szCs w:val="24"/>
                <w:highlight w:val="none"/>
                <w:lang w:val="en-GB" w:eastAsia="zh-CN"/>
              </w:rPr>
            </w:pPr>
            <w:r>
              <w:rPr>
                <w:rFonts w:hint="eastAsia" w:ascii="Times New Roman" w:hAnsi="Times New Roman" w:eastAsia="仿宋_GB2312" w:cs="Times New Roman"/>
                <w:b w:val="0"/>
                <w:bCs/>
                <w:color w:val="auto"/>
                <w:sz w:val="24"/>
                <w:szCs w:val="24"/>
                <w:highlight w:val="none"/>
                <w:lang w:val="en-US" w:eastAsia="zh-CN"/>
              </w:rPr>
              <w:t>近3年（自2023年3月1日起至本项目响应文件提交截止之日止）</w:t>
            </w:r>
            <w:r>
              <w:rPr>
                <w:rFonts w:hint="default" w:ascii="Times New Roman" w:hAnsi="Times New Roman" w:eastAsia="仿宋_GB2312" w:cs="Times New Roman"/>
                <w:b w:val="0"/>
                <w:bCs/>
                <w:color w:val="auto"/>
                <w:sz w:val="24"/>
                <w:szCs w:val="24"/>
                <w:highlight w:val="none"/>
                <w:lang w:val="en-GB" w:eastAsia="zh-CN"/>
              </w:rPr>
              <w:t>在经营活动中无</w:t>
            </w:r>
            <w:r>
              <w:rPr>
                <w:rFonts w:hint="eastAsia" w:ascii="Times New Roman" w:hAnsi="Times New Roman" w:eastAsia="仿宋_GB2312" w:cs="Times New Roman"/>
                <w:b w:val="0"/>
                <w:bCs/>
                <w:color w:val="auto"/>
                <w:sz w:val="24"/>
                <w:szCs w:val="24"/>
                <w:highlight w:val="none"/>
                <w:lang w:val="en-US" w:eastAsia="zh-CN"/>
              </w:rPr>
              <w:t>以下</w:t>
            </w:r>
            <w:r>
              <w:rPr>
                <w:rFonts w:hint="default" w:ascii="Times New Roman" w:hAnsi="Times New Roman" w:eastAsia="仿宋_GB2312" w:cs="Times New Roman"/>
                <w:b w:val="0"/>
                <w:bCs/>
                <w:color w:val="auto"/>
                <w:sz w:val="24"/>
                <w:szCs w:val="24"/>
                <w:highlight w:val="none"/>
                <w:lang w:val="en-GB" w:eastAsia="zh-CN"/>
              </w:rPr>
              <w:t>不良行为记录：没有处于被责令停业、投标资格被取消、财产被接管、冻结、破产状态，在经营活动中没有重大违法记录</w:t>
            </w:r>
            <w:r>
              <w:rPr>
                <w:rFonts w:hint="eastAsia" w:ascii="Times New Roman" w:hAnsi="Times New Roman" w:eastAsia="仿宋_GB2312" w:cs="Times New Roman"/>
                <w:b w:val="0"/>
                <w:bCs/>
                <w:color w:val="auto"/>
                <w:sz w:val="24"/>
                <w:szCs w:val="24"/>
                <w:highlight w:val="none"/>
                <w:lang w:val="en-GB" w:eastAsia="zh-CN"/>
              </w:rPr>
              <w:t>（声明格式</w:t>
            </w:r>
            <w:r>
              <w:rPr>
                <w:rFonts w:hint="eastAsia" w:ascii="Times New Roman" w:hAnsi="Times New Roman" w:eastAsia="仿宋_GB2312" w:cs="Times New Roman"/>
                <w:b w:val="0"/>
                <w:bCs/>
                <w:color w:val="auto"/>
                <w:sz w:val="24"/>
                <w:szCs w:val="24"/>
                <w:highlight w:val="none"/>
                <w:lang w:val="en-US" w:eastAsia="zh-CN"/>
              </w:rPr>
              <w:t>见附件4</w:t>
            </w:r>
            <w:r>
              <w:rPr>
                <w:rFonts w:hint="eastAsia" w:ascii="Times New Roman" w:hAnsi="Times New Roman" w:eastAsia="仿宋_GB2312" w:cs="Times New Roman"/>
                <w:b w:val="0"/>
                <w:bCs/>
                <w:color w:val="auto"/>
                <w:sz w:val="24"/>
                <w:szCs w:val="24"/>
                <w:highlight w:val="none"/>
                <w:lang w:val="en-GB" w:eastAsia="zh-CN"/>
              </w:rPr>
              <w:t>，加盖公章，法定代表人</w:t>
            </w:r>
            <w:r>
              <w:rPr>
                <w:rFonts w:hint="eastAsia" w:ascii="Times New Roman" w:hAnsi="Times New Roman" w:eastAsia="仿宋_GB2312" w:cs="Times New Roman"/>
                <w:bCs/>
                <w:color w:val="auto"/>
                <w:sz w:val="24"/>
                <w:highlight w:val="none"/>
                <w:lang w:val="en-GB"/>
              </w:rPr>
              <w:t>或授权委托人</w:t>
            </w:r>
            <w:r>
              <w:rPr>
                <w:rFonts w:hint="eastAsia" w:ascii="Times New Roman" w:hAnsi="Times New Roman" w:eastAsia="仿宋_GB2312" w:cs="Times New Roman"/>
                <w:b w:val="0"/>
                <w:bCs/>
                <w:color w:val="auto"/>
                <w:sz w:val="24"/>
                <w:szCs w:val="24"/>
                <w:highlight w:val="none"/>
                <w:lang w:val="en-US" w:eastAsia="zh-CN"/>
              </w:rPr>
              <w:t>签章</w:t>
            </w:r>
            <w:r>
              <w:rPr>
                <w:rFonts w:hint="eastAsia" w:ascii="Times New Roman" w:hAnsi="Times New Roman" w:eastAsia="仿宋_GB2312" w:cs="Times New Roman"/>
                <w:b w:val="0"/>
                <w:bCs/>
                <w:color w:val="auto"/>
                <w:sz w:val="24"/>
                <w:szCs w:val="24"/>
                <w:highlight w:val="none"/>
                <w:lang w:val="en-GB" w:eastAsia="zh-CN"/>
              </w:rPr>
              <w:t>）</w:t>
            </w:r>
          </w:p>
        </w:tc>
      </w:tr>
      <w:tr w14:paraId="2703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41" w:type="dxa"/>
            <w:vMerge w:val="continue"/>
            <w:textDirection w:val="tbRlV"/>
            <w:vAlign w:val="center"/>
          </w:tcPr>
          <w:p w14:paraId="0E4650E0">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Merge w:val="restart"/>
            <w:vAlign w:val="center"/>
          </w:tcPr>
          <w:p w14:paraId="20A69813">
            <w:pPr>
              <w:jc w:val="cente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GB"/>
              </w:rPr>
              <w:t>信用</w:t>
            </w:r>
            <w:r>
              <w:rPr>
                <w:rFonts w:hint="eastAsia" w:ascii="Times New Roman" w:hAnsi="Times New Roman" w:eastAsia="仿宋_GB2312" w:cs="Times New Roman"/>
                <w:b w:val="0"/>
                <w:bCs/>
                <w:color w:val="auto"/>
                <w:sz w:val="24"/>
                <w:szCs w:val="24"/>
                <w:highlight w:val="none"/>
                <w:lang w:val="en-US" w:eastAsia="zh-CN"/>
              </w:rPr>
              <w:t>状况</w:t>
            </w:r>
          </w:p>
        </w:tc>
        <w:tc>
          <w:tcPr>
            <w:tcW w:w="6652" w:type="dxa"/>
            <w:vAlign w:val="center"/>
          </w:tcPr>
          <w:p w14:paraId="49606632">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GB" w:eastAsia="zh-CN"/>
              </w:rPr>
              <w:t>在“信用中国”网站（www.creditchina.gov.cn）未被列入失信被执行人、重大税收违法失信主体、政府采购严重违法失信记录名单（提供网站查询截图并加盖公章）</w:t>
            </w:r>
          </w:p>
        </w:tc>
      </w:tr>
      <w:tr w14:paraId="4A7C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dxa"/>
            <w:vMerge w:val="continue"/>
            <w:textDirection w:val="tbRlV"/>
            <w:vAlign w:val="center"/>
          </w:tcPr>
          <w:p w14:paraId="39EE3C80">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Merge w:val="continue"/>
            <w:vAlign w:val="center"/>
          </w:tcPr>
          <w:p w14:paraId="48199777">
            <w:pPr>
              <w:jc w:val="center"/>
              <w:rPr>
                <w:rFonts w:hint="default" w:ascii="Times New Roman" w:hAnsi="Times New Roman" w:eastAsia="仿宋_GB2312" w:cs="Times New Roman"/>
                <w:b w:val="0"/>
                <w:bCs/>
                <w:color w:val="auto"/>
                <w:sz w:val="24"/>
                <w:szCs w:val="24"/>
                <w:highlight w:val="none"/>
                <w:lang w:val="en-GB"/>
              </w:rPr>
            </w:pPr>
          </w:p>
        </w:tc>
        <w:tc>
          <w:tcPr>
            <w:tcW w:w="6652" w:type="dxa"/>
            <w:vAlign w:val="center"/>
          </w:tcPr>
          <w:p w14:paraId="123AC316">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GB" w:eastAsia="zh-CN"/>
              </w:rPr>
              <w:t>在中国政府采购网（www.ccgp.gov.cn）未被列入政府采购严重违法失信行为记录名单、政府采购代理机构不良行为记录名单（提供网站查询截图并加盖公章）</w:t>
            </w:r>
          </w:p>
        </w:tc>
      </w:tr>
      <w:tr w14:paraId="2083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41" w:type="dxa"/>
            <w:vMerge w:val="continue"/>
            <w:textDirection w:val="tbRlV"/>
            <w:vAlign w:val="center"/>
          </w:tcPr>
          <w:p w14:paraId="6C1C253B">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Merge w:val="continue"/>
            <w:vAlign w:val="center"/>
          </w:tcPr>
          <w:p w14:paraId="63A59337">
            <w:pPr>
              <w:jc w:val="center"/>
              <w:rPr>
                <w:rFonts w:hint="default" w:ascii="Times New Roman" w:hAnsi="Times New Roman" w:eastAsia="仿宋_GB2312" w:cs="Times New Roman"/>
                <w:b w:val="0"/>
                <w:bCs/>
                <w:color w:val="auto"/>
                <w:sz w:val="24"/>
                <w:szCs w:val="24"/>
                <w:highlight w:val="none"/>
                <w:lang w:val="en-GB"/>
              </w:rPr>
            </w:pPr>
          </w:p>
        </w:tc>
        <w:tc>
          <w:tcPr>
            <w:tcW w:w="6652" w:type="dxa"/>
            <w:vAlign w:val="center"/>
          </w:tcPr>
          <w:p w14:paraId="6DFAFDBE">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GB" w:eastAsia="zh-CN"/>
              </w:rPr>
              <w:t>在中国执行网（http://zxgk.court.gov.cn/shixin/）未被列入失信被执行人名单（提供网站查询截图并加盖公章）</w:t>
            </w:r>
          </w:p>
        </w:tc>
      </w:tr>
      <w:tr w14:paraId="3DB3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1" w:type="dxa"/>
            <w:vMerge w:val="continue"/>
            <w:textDirection w:val="tbRlV"/>
            <w:vAlign w:val="center"/>
          </w:tcPr>
          <w:p w14:paraId="016DF263">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Align w:val="center"/>
          </w:tcPr>
          <w:p w14:paraId="333C6273">
            <w:pPr>
              <w:jc w:val="center"/>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关联关系</w:t>
            </w:r>
          </w:p>
        </w:tc>
        <w:tc>
          <w:tcPr>
            <w:tcW w:w="6652" w:type="dxa"/>
            <w:vAlign w:val="center"/>
          </w:tcPr>
          <w:p w14:paraId="1E389908">
            <w:pPr>
              <w:rPr>
                <w:rFonts w:hint="default" w:ascii="Times New Roman" w:hAnsi="Times New Roman" w:eastAsia="仿宋_GB2312" w:cs="Times New Roman"/>
                <w:b w:val="0"/>
                <w:bCs/>
                <w:color w:val="auto"/>
                <w:sz w:val="24"/>
                <w:szCs w:val="24"/>
                <w:highlight w:val="none"/>
                <w:lang w:val="en-US" w:eastAsia="zh-CN"/>
              </w:rPr>
            </w:pPr>
            <w:r>
              <w:rPr>
                <w:rFonts w:hint="eastAsia" w:ascii="Times New Roman" w:hAnsi="Times New Roman" w:eastAsia="仿宋_GB2312" w:cs="Times New Roman"/>
                <w:b w:val="0"/>
                <w:bCs/>
                <w:color w:val="auto"/>
                <w:sz w:val="24"/>
                <w:szCs w:val="24"/>
                <w:highlight w:val="none"/>
                <w:lang w:val="en-US" w:eastAsia="zh-CN"/>
              </w:rPr>
              <w:t>参加比选的供应商</w:t>
            </w:r>
            <w:r>
              <w:rPr>
                <w:rFonts w:hint="default" w:ascii="Times New Roman" w:hAnsi="Times New Roman" w:eastAsia="仿宋_GB2312" w:cs="Times New Roman"/>
                <w:b w:val="0"/>
                <w:bCs/>
                <w:color w:val="auto"/>
                <w:sz w:val="24"/>
                <w:szCs w:val="24"/>
                <w:highlight w:val="none"/>
                <w:lang w:val="en-US" w:eastAsia="zh-CN"/>
              </w:rPr>
              <w:t>不存在以下关联关系：</w:t>
            </w:r>
            <w:r>
              <w:rPr>
                <w:rFonts w:hint="eastAsia" w:ascii="Times New Roman" w:hAnsi="Times New Roman" w:eastAsia="仿宋_GB2312" w:cs="Times New Roman"/>
                <w:bCs/>
                <w:color w:val="auto"/>
                <w:sz w:val="24"/>
                <w:highlight w:val="none"/>
                <w:lang w:eastAsia="zh-CN"/>
              </w:rPr>
              <w:t>法定代表人</w:t>
            </w:r>
            <w:r>
              <w:rPr>
                <w:rFonts w:hint="default" w:ascii="Times New Roman" w:hAnsi="Times New Roman" w:eastAsia="仿宋_GB2312" w:cs="Times New Roman"/>
                <w:bCs/>
                <w:color w:val="auto"/>
                <w:sz w:val="24"/>
                <w:highlight w:val="none"/>
              </w:rPr>
              <w:t>为同一人或者存在直接控股、管理关系</w:t>
            </w:r>
            <w:r>
              <w:rPr>
                <w:rFonts w:hint="default" w:ascii="Times New Roman" w:hAnsi="Times New Roman" w:eastAsia="仿宋_GB2312" w:cs="Times New Roman"/>
                <w:b w:val="0"/>
                <w:bCs/>
                <w:color w:val="auto"/>
                <w:sz w:val="24"/>
                <w:szCs w:val="24"/>
                <w:highlight w:val="none"/>
                <w:lang w:val="en-US" w:eastAsia="zh-CN"/>
              </w:rPr>
              <w:t>（声明格式自拟，加盖公章，法定代表人</w:t>
            </w:r>
            <w:r>
              <w:rPr>
                <w:rFonts w:hint="eastAsia" w:ascii="Times New Roman" w:hAnsi="Times New Roman" w:eastAsia="仿宋_GB2312" w:cs="Times New Roman"/>
                <w:bCs/>
                <w:color w:val="auto"/>
                <w:sz w:val="24"/>
                <w:highlight w:val="none"/>
                <w:lang w:val="en-GB"/>
              </w:rPr>
              <w:t>或授权委托人</w:t>
            </w:r>
            <w:r>
              <w:rPr>
                <w:rFonts w:hint="eastAsia" w:ascii="Times New Roman" w:hAnsi="Times New Roman" w:eastAsia="仿宋_GB2312" w:cs="Times New Roman"/>
                <w:b w:val="0"/>
                <w:bCs/>
                <w:color w:val="auto"/>
                <w:sz w:val="24"/>
                <w:szCs w:val="24"/>
                <w:highlight w:val="none"/>
                <w:lang w:val="en-US" w:eastAsia="zh-CN"/>
              </w:rPr>
              <w:t>签章</w:t>
            </w:r>
            <w:r>
              <w:rPr>
                <w:rFonts w:hint="default" w:ascii="Times New Roman" w:hAnsi="Times New Roman" w:eastAsia="仿宋_GB2312" w:cs="Times New Roman"/>
                <w:b w:val="0"/>
                <w:bCs/>
                <w:color w:val="auto"/>
                <w:sz w:val="24"/>
                <w:szCs w:val="24"/>
                <w:highlight w:val="none"/>
                <w:lang w:val="en-US" w:eastAsia="zh-CN"/>
              </w:rPr>
              <w:t>）</w:t>
            </w:r>
          </w:p>
        </w:tc>
      </w:tr>
      <w:tr w14:paraId="0DC9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41" w:type="dxa"/>
            <w:vMerge w:val="continue"/>
            <w:textDirection w:val="tbRlV"/>
            <w:vAlign w:val="center"/>
          </w:tcPr>
          <w:p w14:paraId="71F55A0C">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Align w:val="center"/>
          </w:tcPr>
          <w:p w14:paraId="46C06AC8">
            <w:pPr>
              <w:jc w:val="center"/>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独立性</w:t>
            </w:r>
          </w:p>
        </w:tc>
        <w:tc>
          <w:tcPr>
            <w:tcW w:w="6652" w:type="dxa"/>
            <w:vAlign w:val="center"/>
          </w:tcPr>
          <w:p w14:paraId="14D676C8">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US" w:eastAsia="zh-CN"/>
              </w:rPr>
              <w:t>不是</w:t>
            </w:r>
            <w:r>
              <w:rPr>
                <w:rFonts w:hint="default" w:ascii="Times New Roman" w:hAnsi="Times New Roman" w:eastAsia="仿宋_GB2312" w:cs="Times New Roman"/>
                <w:b w:val="0"/>
                <w:bCs/>
                <w:color w:val="auto"/>
                <w:sz w:val="24"/>
                <w:szCs w:val="24"/>
                <w:highlight w:val="none"/>
                <w:lang w:val="en-GB" w:eastAsia="zh-CN"/>
              </w:rPr>
              <w:t>联合体投标，不得转包和分包（声明格式自拟，加盖公章，法定代表人</w:t>
            </w:r>
            <w:r>
              <w:rPr>
                <w:rFonts w:hint="eastAsia" w:ascii="Times New Roman" w:hAnsi="Times New Roman" w:eastAsia="仿宋_GB2312" w:cs="Times New Roman"/>
                <w:bCs/>
                <w:color w:val="auto"/>
                <w:sz w:val="24"/>
                <w:highlight w:val="none"/>
                <w:lang w:val="en-GB"/>
              </w:rPr>
              <w:t>或授权委托人</w:t>
            </w:r>
            <w:r>
              <w:rPr>
                <w:rFonts w:hint="eastAsia" w:ascii="Times New Roman" w:hAnsi="Times New Roman" w:eastAsia="仿宋_GB2312" w:cs="Times New Roman"/>
                <w:b w:val="0"/>
                <w:bCs/>
                <w:color w:val="auto"/>
                <w:sz w:val="24"/>
                <w:szCs w:val="24"/>
                <w:highlight w:val="none"/>
                <w:lang w:val="en-US" w:eastAsia="zh-CN"/>
              </w:rPr>
              <w:t>签章</w:t>
            </w:r>
            <w:r>
              <w:rPr>
                <w:rFonts w:hint="default" w:ascii="Times New Roman" w:hAnsi="Times New Roman" w:eastAsia="仿宋_GB2312" w:cs="Times New Roman"/>
                <w:b w:val="0"/>
                <w:bCs/>
                <w:color w:val="auto"/>
                <w:sz w:val="24"/>
                <w:szCs w:val="24"/>
                <w:highlight w:val="none"/>
                <w:lang w:val="en-GB" w:eastAsia="zh-CN"/>
              </w:rPr>
              <w:t>）</w:t>
            </w:r>
          </w:p>
        </w:tc>
      </w:tr>
      <w:tr w14:paraId="37D7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41" w:type="dxa"/>
            <w:vMerge w:val="restart"/>
            <w:textDirection w:val="tbRlV"/>
            <w:vAlign w:val="center"/>
          </w:tcPr>
          <w:p w14:paraId="5E741490">
            <w:pPr>
              <w:ind w:left="113" w:right="113"/>
              <w:jc w:val="center"/>
              <w:rPr>
                <w:rFonts w:hint="default" w:ascii="Times New Roman" w:hAnsi="Times New Roman" w:eastAsia="仿宋_GB2312" w:cs="Times New Roman"/>
                <w:b w:val="0"/>
                <w:bCs/>
                <w:color w:val="auto"/>
                <w:sz w:val="24"/>
                <w:szCs w:val="24"/>
                <w:highlight w:val="none"/>
                <w:lang w:val="en-GB"/>
              </w:rPr>
            </w:pPr>
            <w:r>
              <w:rPr>
                <w:rFonts w:hint="default" w:ascii="Times New Roman" w:hAnsi="Times New Roman" w:eastAsia="仿宋_GB2312" w:cs="Times New Roman"/>
                <w:b w:val="0"/>
                <w:bCs/>
                <w:color w:val="auto"/>
                <w:sz w:val="24"/>
                <w:szCs w:val="24"/>
                <w:highlight w:val="none"/>
                <w:u w:val="none"/>
                <w:lang w:val="en-US" w:eastAsia="zh-CN"/>
              </w:rPr>
              <w:t>形式</w:t>
            </w:r>
            <w:r>
              <w:rPr>
                <w:rFonts w:hint="default" w:ascii="Times New Roman" w:hAnsi="Times New Roman" w:eastAsia="仿宋_GB2312" w:cs="Times New Roman"/>
                <w:b w:val="0"/>
                <w:bCs/>
                <w:color w:val="auto"/>
                <w:sz w:val="24"/>
                <w:szCs w:val="24"/>
                <w:highlight w:val="none"/>
                <w:u w:val="none"/>
              </w:rPr>
              <w:t>审查</w:t>
            </w:r>
          </w:p>
        </w:tc>
        <w:tc>
          <w:tcPr>
            <w:tcW w:w="1343" w:type="dxa"/>
            <w:shd w:val="clear" w:color="auto" w:fill="auto"/>
            <w:vAlign w:val="center"/>
          </w:tcPr>
          <w:p w14:paraId="6BD7AB18">
            <w:pPr>
              <w:jc w:val="center"/>
              <w:rPr>
                <w:rFonts w:hint="default" w:ascii="Times New Roman" w:hAnsi="Times New Roman" w:eastAsia="仿宋_GB2312" w:cs="Times New Roman"/>
                <w:b w:val="0"/>
                <w:bCs/>
                <w:color w:val="auto"/>
                <w:kern w:val="2"/>
                <w:sz w:val="24"/>
                <w:szCs w:val="24"/>
                <w:highlight w:val="none"/>
                <w:lang w:val="en-US" w:eastAsia="zh-CN" w:bidi="ar-SA"/>
                <w14:ligatures w14:val="standardContextual"/>
              </w:rPr>
            </w:pPr>
            <w:r>
              <w:rPr>
                <w:rFonts w:hint="eastAsia" w:ascii="Times New Roman" w:hAnsi="Times New Roman" w:eastAsia="仿宋_GB2312" w:cs="Times New Roman"/>
                <w:b w:val="0"/>
                <w:bCs/>
                <w:color w:val="auto"/>
                <w:sz w:val="24"/>
                <w:szCs w:val="24"/>
                <w:highlight w:val="none"/>
                <w:lang w:val="en-US" w:eastAsia="zh-CN"/>
              </w:rPr>
              <w:t>响应</w:t>
            </w:r>
            <w:r>
              <w:rPr>
                <w:rFonts w:hint="default" w:ascii="Times New Roman" w:hAnsi="Times New Roman" w:eastAsia="仿宋_GB2312" w:cs="Times New Roman"/>
                <w:b w:val="0"/>
                <w:bCs/>
                <w:color w:val="auto"/>
                <w:sz w:val="24"/>
                <w:szCs w:val="24"/>
                <w:highlight w:val="none"/>
                <w:lang w:val="en-US" w:eastAsia="zh-CN"/>
              </w:rPr>
              <w:t>文件递交合规</w:t>
            </w:r>
          </w:p>
        </w:tc>
        <w:tc>
          <w:tcPr>
            <w:tcW w:w="6652" w:type="dxa"/>
            <w:shd w:val="clear" w:color="auto" w:fill="auto"/>
            <w:vAlign w:val="center"/>
          </w:tcPr>
          <w:p w14:paraId="36B209CB">
            <w:pPr>
              <w:rPr>
                <w:rFonts w:hint="default" w:ascii="Times New Roman" w:hAnsi="Times New Roman" w:eastAsia="仿宋_GB2312" w:cs="Times New Roman"/>
                <w:b w:val="0"/>
                <w:bCs/>
                <w:color w:val="auto"/>
                <w:kern w:val="2"/>
                <w:sz w:val="24"/>
                <w:szCs w:val="24"/>
                <w:highlight w:val="none"/>
                <w:lang w:val="en-US" w:eastAsia="zh-CN" w:bidi="ar-SA"/>
                <w14:ligatures w14:val="standardContextual"/>
              </w:rPr>
            </w:pPr>
            <w:r>
              <w:rPr>
                <w:rFonts w:hint="default" w:ascii="Times New Roman" w:hAnsi="Times New Roman" w:eastAsia="仿宋_GB2312" w:cs="Times New Roman"/>
                <w:b w:val="0"/>
                <w:bCs/>
                <w:color w:val="auto"/>
                <w:sz w:val="24"/>
                <w:szCs w:val="24"/>
                <w:highlight w:val="none"/>
                <w:lang w:val="en-US" w:eastAsia="zh-CN"/>
              </w:rPr>
              <w:t>符合第一章</w:t>
            </w:r>
            <w:r>
              <w:rPr>
                <w:rFonts w:hint="default" w:ascii="Times New Roman" w:hAnsi="Times New Roman" w:eastAsia="仿宋_GB2312" w:cs="Times New Roman"/>
                <w:b w:val="0"/>
                <w:bCs/>
                <w:color w:val="auto"/>
                <w:sz w:val="24"/>
                <w:szCs w:val="24"/>
                <w:highlight w:val="none"/>
                <w:lang w:val="en-GB" w:eastAsia="zh-CN"/>
              </w:rPr>
              <w:t>“</w:t>
            </w:r>
            <w:r>
              <w:rPr>
                <w:rFonts w:hint="eastAsia" w:ascii="Times New Roman" w:hAnsi="Times New Roman" w:eastAsia="仿宋_GB2312" w:cs="Times New Roman"/>
                <w:b w:val="0"/>
                <w:bCs/>
                <w:color w:val="auto"/>
                <w:sz w:val="24"/>
                <w:szCs w:val="24"/>
                <w:highlight w:val="none"/>
                <w:lang w:val="en-US" w:eastAsia="zh-CN"/>
              </w:rPr>
              <w:t>响应人须知</w:t>
            </w:r>
            <w:r>
              <w:rPr>
                <w:rFonts w:hint="default" w:ascii="Times New Roman" w:hAnsi="Times New Roman" w:eastAsia="仿宋_GB2312" w:cs="Times New Roman"/>
                <w:b w:val="0"/>
                <w:bCs/>
                <w:color w:val="auto"/>
                <w:sz w:val="24"/>
                <w:szCs w:val="24"/>
                <w:highlight w:val="none"/>
                <w:lang w:val="en-GB" w:eastAsia="zh-CN"/>
              </w:rPr>
              <w:t>”</w:t>
            </w:r>
            <w:r>
              <w:rPr>
                <w:rFonts w:hint="default" w:ascii="Times New Roman" w:hAnsi="Times New Roman" w:eastAsia="仿宋_GB2312" w:cs="Times New Roman"/>
                <w:b w:val="0"/>
                <w:bCs/>
                <w:color w:val="auto"/>
                <w:sz w:val="24"/>
                <w:szCs w:val="24"/>
                <w:highlight w:val="none"/>
                <w:lang w:val="en-US" w:eastAsia="zh-CN"/>
              </w:rPr>
              <w:t>第四条</w:t>
            </w:r>
            <w:r>
              <w:rPr>
                <w:rFonts w:hint="eastAsia" w:ascii="Times New Roman" w:hAnsi="Times New Roman" w:eastAsia="仿宋_GB2312" w:cs="Times New Roman"/>
                <w:b w:val="0"/>
                <w:bCs/>
                <w:color w:val="auto"/>
                <w:sz w:val="24"/>
                <w:szCs w:val="24"/>
                <w:highlight w:val="none"/>
                <w:lang w:val="en-US" w:eastAsia="zh-CN"/>
              </w:rPr>
              <w:t>关于</w:t>
            </w:r>
            <w:r>
              <w:rPr>
                <w:rFonts w:hint="eastAsia" w:ascii="Times New Roman" w:hAnsi="Times New Roman" w:eastAsia="仿宋_GB2312" w:cs="Times New Roman"/>
                <w:bCs/>
                <w:color w:val="auto"/>
                <w:sz w:val="24"/>
                <w:highlight w:val="none"/>
                <w:lang w:eastAsia="zh-CN"/>
              </w:rPr>
              <w:t>响应</w:t>
            </w:r>
            <w:r>
              <w:rPr>
                <w:rFonts w:hint="eastAsia" w:ascii="Times New Roman" w:hAnsi="Times New Roman" w:eastAsia="仿宋_GB2312" w:cs="Times New Roman"/>
                <w:bCs/>
                <w:color w:val="auto"/>
                <w:sz w:val="24"/>
                <w:highlight w:val="none"/>
              </w:rPr>
              <w:t>文件递交</w:t>
            </w:r>
            <w:r>
              <w:rPr>
                <w:rFonts w:hint="eastAsia" w:ascii="Times New Roman" w:hAnsi="Times New Roman" w:eastAsia="仿宋_GB2312" w:cs="Times New Roman"/>
                <w:bCs/>
                <w:color w:val="auto"/>
                <w:sz w:val="24"/>
                <w:highlight w:val="none"/>
                <w:lang w:val="en-US" w:eastAsia="zh-CN"/>
              </w:rPr>
              <w:t>的</w:t>
            </w:r>
            <w:r>
              <w:rPr>
                <w:rFonts w:hint="default" w:ascii="Times New Roman" w:hAnsi="Times New Roman" w:eastAsia="仿宋_GB2312" w:cs="Times New Roman"/>
                <w:b w:val="0"/>
                <w:bCs/>
                <w:color w:val="auto"/>
                <w:sz w:val="24"/>
                <w:szCs w:val="24"/>
                <w:highlight w:val="none"/>
                <w:lang w:val="en-US" w:eastAsia="zh-CN"/>
              </w:rPr>
              <w:t>规定</w:t>
            </w:r>
          </w:p>
        </w:tc>
      </w:tr>
      <w:tr w14:paraId="519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Merge w:val="continue"/>
            <w:textDirection w:val="tbRlV"/>
            <w:vAlign w:val="center"/>
          </w:tcPr>
          <w:p w14:paraId="1A82840B">
            <w:pPr>
              <w:ind w:left="113" w:right="113"/>
              <w:jc w:val="center"/>
              <w:rPr>
                <w:rFonts w:hint="default" w:ascii="Times New Roman" w:hAnsi="Times New Roman" w:eastAsia="仿宋_GB2312" w:cs="Times New Roman"/>
                <w:b w:val="0"/>
                <w:bCs/>
                <w:color w:val="auto"/>
                <w:sz w:val="24"/>
                <w:szCs w:val="24"/>
                <w:highlight w:val="none"/>
                <w:lang w:val="en-GB"/>
              </w:rPr>
            </w:pPr>
          </w:p>
        </w:tc>
        <w:tc>
          <w:tcPr>
            <w:tcW w:w="1343" w:type="dxa"/>
            <w:shd w:val="clear" w:color="auto" w:fill="auto"/>
            <w:vAlign w:val="center"/>
          </w:tcPr>
          <w:p w14:paraId="1930EC85">
            <w:pPr>
              <w:rPr>
                <w:rFonts w:hint="default" w:ascii="Times New Roman" w:hAnsi="Times New Roman" w:eastAsia="仿宋_GB2312" w:cs="Times New Roman"/>
                <w:b w:val="0"/>
                <w:bCs/>
                <w:color w:val="auto"/>
                <w:kern w:val="20"/>
                <w:sz w:val="24"/>
                <w:szCs w:val="24"/>
                <w:highlight w:val="none"/>
                <w:lang w:val="en-US" w:eastAsia="zh-CN" w:bidi="ar-SA"/>
              </w:rPr>
            </w:pPr>
            <w:r>
              <w:rPr>
                <w:rFonts w:hint="eastAsia" w:ascii="Times New Roman" w:hAnsi="Times New Roman" w:eastAsia="仿宋_GB2312" w:cs="Times New Roman"/>
                <w:b w:val="0"/>
                <w:bCs/>
                <w:color w:val="auto"/>
                <w:sz w:val="24"/>
                <w:szCs w:val="24"/>
                <w:highlight w:val="none"/>
                <w:lang w:eastAsia="zh-CN"/>
              </w:rPr>
              <w:t>响应</w:t>
            </w:r>
            <w:r>
              <w:rPr>
                <w:rFonts w:hint="default" w:ascii="Times New Roman" w:hAnsi="Times New Roman" w:eastAsia="仿宋_GB2312" w:cs="Times New Roman"/>
                <w:b w:val="0"/>
                <w:bCs/>
                <w:color w:val="auto"/>
                <w:sz w:val="24"/>
                <w:szCs w:val="24"/>
                <w:highlight w:val="none"/>
              </w:rPr>
              <w:t>文件</w:t>
            </w:r>
            <w:r>
              <w:rPr>
                <w:rFonts w:hint="eastAsia" w:ascii="Times New Roman" w:hAnsi="Times New Roman" w:eastAsia="仿宋_GB2312" w:cs="Times New Roman"/>
                <w:b w:val="0"/>
                <w:bCs/>
                <w:color w:val="auto"/>
                <w:sz w:val="24"/>
                <w:szCs w:val="24"/>
                <w:highlight w:val="none"/>
                <w:lang w:val="en-US" w:eastAsia="zh-CN"/>
              </w:rPr>
              <w:t>符合</w:t>
            </w:r>
            <w:r>
              <w:rPr>
                <w:rFonts w:hint="default" w:ascii="Times New Roman" w:hAnsi="Times New Roman" w:eastAsia="仿宋_GB2312" w:cs="Times New Roman"/>
                <w:b w:val="0"/>
                <w:bCs/>
                <w:color w:val="auto"/>
                <w:sz w:val="24"/>
                <w:szCs w:val="24"/>
                <w:highlight w:val="none"/>
                <w:lang w:val="en-US" w:eastAsia="zh-CN"/>
              </w:rPr>
              <w:t>要求</w:t>
            </w:r>
          </w:p>
        </w:tc>
        <w:tc>
          <w:tcPr>
            <w:tcW w:w="6652" w:type="dxa"/>
            <w:shd w:val="clear" w:color="auto" w:fill="auto"/>
            <w:vAlign w:val="center"/>
          </w:tcPr>
          <w:p w14:paraId="47DE824C">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rPr>
              <w:t>符合</w:t>
            </w:r>
            <w:r>
              <w:rPr>
                <w:rFonts w:hint="eastAsia" w:ascii="Times New Roman" w:hAnsi="Times New Roman" w:eastAsia="仿宋_GB2312" w:cs="Times New Roman"/>
                <w:b w:val="0"/>
                <w:bCs/>
                <w:color w:val="auto"/>
                <w:sz w:val="24"/>
                <w:szCs w:val="24"/>
                <w:highlight w:val="none"/>
                <w:lang w:val="en-US" w:eastAsia="zh-CN"/>
              </w:rPr>
              <w:t>第二</w:t>
            </w:r>
            <w:r>
              <w:rPr>
                <w:rFonts w:hint="default" w:ascii="Times New Roman" w:hAnsi="Times New Roman" w:eastAsia="仿宋_GB2312" w:cs="Times New Roman"/>
                <w:b w:val="0"/>
                <w:bCs/>
                <w:color w:val="auto"/>
                <w:sz w:val="24"/>
                <w:szCs w:val="24"/>
                <w:highlight w:val="none"/>
              </w:rPr>
              <w:t>章“</w:t>
            </w:r>
            <w:r>
              <w:rPr>
                <w:rFonts w:hint="eastAsia" w:ascii="Times New Roman" w:hAnsi="Times New Roman" w:eastAsia="仿宋_GB2312" w:cs="Times New Roman"/>
                <w:b w:val="0"/>
                <w:bCs/>
                <w:color w:val="auto"/>
                <w:sz w:val="24"/>
                <w:szCs w:val="24"/>
                <w:highlight w:val="none"/>
                <w:lang w:eastAsia="zh-CN"/>
              </w:rPr>
              <w:t>响应</w:t>
            </w:r>
            <w:r>
              <w:rPr>
                <w:rFonts w:hint="default" w:ascii="Times New Roman" w:hAnsi="Times New Roman" w:eastAsia="仿宋_GB2312" w:cs="Times New Roman"/>
                <w:b w:val="0"/>
                <w:bCs/>
                <w:color w:val="auto"/>
                <w:sz w:val="24"/>
                <w:szCs w:val="24"/>
                <w:highlight w:val="none"/>
                <w:lang w:val="en-US" w:eastAsia="zh-CN"/>
              </w:rPr>
              <w:t>文件要求</w:t>
            </w:r>
            <w:r>
              <w:rPr>
                <w:rFonts w:hint="default" w:ascii="Times New Roman" w:hAnsi="Times New Roman" w:eastAsia="仿宋_GB2312" w:cs="Times New Roman"/>
                <w:b w:val="0"/>
                <w:bCs/>
                <w:color w:val="auto"/>
                <w:sz w:val="24"/>
                <w:szCs w:val="24"/>
                <w:highlight w:val="none"/>
              </w:rPr>
              <w:t>”</w:t>
            </w:r>
            <w:r>
              <w:rPr>
                <w:rFonts w:hint="eastAsia" w:ascii="Times New Roman" w:hAnsi="Times New Roman" w:eastAsia="仿宋_GB2312" w:cs="Times New Roman"/>
                <w:b w:val="0"/>
                <w:bCs/>
                <w:color w:val="auto"/>
                <w:sz w:val="24"/>
                <w:szCs w:val="24"/>
                <w:highlight w:val="none"/>
                <w:lang w:val="en-US" w:eastAsia="zh-CN"/>
              </w:rPr>
              <w:t>的</w:t>
            </w:r>
            <w:r>
              <w:rPr>
                <w:rFonts w:hint="default" w:ascii="Times New Roman" w:hAnsi="Times New Roman" w:eastAsia="仿宋_GB2312" w:cs="Times New Roman"/>
                <w:b w:val="0"/>
                <w:bCs/>
                <w:color w:val="auto"/>
                <w:sz w:val="24"/>
                <w:szCs w:val="24"/>
                <w:highlight w:val="none"/>
                <w:lang w:val="en-US" w:eastAsia="zh-CN"/>
              </w:rPr>
              <w:t>规定</w:t>
            </w:r>
            <w:r>
              <w:rPr>
                <w:rFonts w:hint="default" w:ascii="Times New Roman" w:hAnsi="Times New Roman" w:eastAsia="仿宋_GB2312" w:cs="Times New Roman"/>
                <w:b w:val="0"/>
                <w:bCs/>
                <w:color w:val="auto"/>
                <w:sz w:val="24"/>
                <w:szCs w:val="24"/>
                <w:highlight w:val="none"/>
              </w:rPr>
              <w:t>。</w:t>
            </w:r>
          </w:p>
        </w:tc>
      </w:tr>
      <w:tr w14:paraId="519C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Merge w:val="continue"/>
            <w:vAlign w:val="center"/>
          </w:tcPr>
          <w:p w14:paraId="5D1BBADB">
            <w:pPr>
              <w:jc w:val="center"/>
              <w:rPr>
                <w:rFonts w:hint="default" w:ascii="Times New Roman" w:hAnsi="Times New Roman" w:eastAsia="仿宋_GB2312" w:cs="Times New Roman"/>
                <w:b w:val="0"/>
                <w:bCs/>
                <w:color w:val="auto"/>
                <w:sz w:val="24"/>
                <w:szCs w:val="24"/>
                <w:highlight w:val="none"/>
                <w:lang w:val="en-GB"/>
              </w:rPr>
            </w:pPr>
          </w:p>
        </w:tc>
        <w:tc>
          <w:tcPr>
            <w:tcW w:w="1343" w:type="dxa"/>
            <w:shd w:val="clear" w:color="auto" w:fill="auto"/>
            <w:vAlign w:val="center"/>
          </w:tcPr>
          <w:p w14:paraId="2AA46A25">
            <w:pPr>
              <w:rPr>
                <w:rFonts w:hint="default" w:ascii="Times New Roman" w:hAnsi="Times New Roman" w:eastAsia="仿宋_GB2312" w:cs="Times New Roman"/>
                <w:b w:val="0"/>
                <w:bCs/>
                <w:color w:val="auto"/>
                <w:sz w:val="24"/>
                <w:szCs w:val="24"/>
                <w:highlight w:val="none"/>
                <w:lang w:val="en-GB" w:eastAsia="zh-CN"/>
              </w:rPr>
            </w:pPr>
            <w:r>
              <w:rPr>
                <w:rFonts w:hint="eastAsia" w:ascii="Times New Roman" w:hAnsi="Times New Roman" w:eastAsia="仿宋_GB2312" w:cs="Times New Roman"/>
                <w:b w:val="0"/>
                <w:bCs/>
                <w:color w:val="auto"/>
                <w:sz w:val="24"/>
                <w:szCs w:val="24"/>
                <w:highlight w:val="none"/>
                <w:lang w:eastAsia="zh-CN"/>
              </w:rPr>
              <w:t>响应</w:t>
            </w:r>
            <w:r>
              <w:rPr>
                <w:rFonts w:hint="default" w:ascii="Times New Roman" w:hAnsi="Times New Roman" w:eastAsia="仿宋_GB2312" w:cs="Times New Roman"/>
                <w:b w:val="0"/>
                <w:bCs/>
                <w:color w:val="auto"/>
                <w:sz w:val="24"/>
                <w:szCs w:val="24"/>
                <w:highlight w:val="none"/>
                <w:lang w:val="en-US" w:eastAsia="zh-CN"/>
              </w:rPr>
              <w:t>文件</w:t>
            </w:r>
            <w:r>
              <w:rPr>
                <w:rFonts w:hint="eastAsia" w:ascii="Times New Roman" w:hAnsi="Times New Roman" w:eastAsia="仿宋_GB2312" w:cs="Times New Roman"/>
                <w:b w:val="0"/>
                <w:bCs/>
                <w:color w:val="auto"/>
                <w:sz w:val="24"/>
                <w:szCs w:val="24"/>
                <w:highlight w:val="none"/>
                <w:lang w:val="en-US" w:eastAsia="zh-CN"/>
              </w:rPr>
              <w:t>附件符合</w:t>
            </w:r>
            <w:r>
              <w:rPr>
                <w:rFonts w:hint="default" w:ascii="Times New Roman" w:hAnsi="Times New Roman" w:eastAsia="仿宋_GB2312" w:cs="Times New Roman"/>
                <w:b w:val="0"/>
                <w:bCs/>
                <w:color w:val="auto"/>
                <w:sz w:val="24"/>
                <w:szCs w:val="24"/>
                <w:highlight w:val="none"/>
                <w:lang w:val="en-US" w:eastAsia="zh-CN"/>
              </w:rPr>
              <w:t>要求</w:t>
            </w:r>
          </w:p>
        </w:tc>
        <w:tc>
          <w:tcPr>
            <w:tcW w:w="6652" w:type="dxa"/>
            <w:shd w:val="clear" w:color="auto" w:fill="auto"/>
            <w:vAlign w:val="center"/>
          </w:tcPr>
          <w:p w14:paraId="2092625E">
            <w:pPr>
              <w:rPr>
                <w:rFonts w:hint="default" w:ascii="Times New Roman" w:hAnsi="Times New Roman" w:eastAsia="仿宋_GB2312" w:cs="Times New Roman"/>
                <w:b w:val="0"/>
                <w:bCs/>
                <w:color w:val="auto"/>
                <w:sz w:val="24"/>
                <w:szCs w:val="24"/>
                <w:highlight w:val="none"/>
                <w:lang w:val="en-GB" w:eastAsia="zh-CN"/>
              </w:rPr>
            </w:pPr>
            <w:r>
              <w:rPr>
                <w:rFonts w:hint="eastAsia" w:ascii="Times New Roman" w:hAnsi="Times New Roman" w:eastAsia="仿宋_GB2312" w:cs="Times New Roman"/>
                <w:b w:val="0"/>
                <w:bCs/>
                <w:color w:val="auto"/>
                <w:sz w:val="24"/>
                <w:szCs w:val="24"/>
                <w:highlight w:val="none"/>
                <w:lang w:val="en-US" w:eastAsia="zh-CN"/>
              </w:rPr>
              <w:t>响应</w:t>
            </w:r>
            <w:r>
              <w:rPr>
                <w:rFonts w:hint="default" w:ascii="Times New Roman" w:hAnsi="Times New Roman" w:eastAsia="仿宋_GB2312" w:cs="Times New Roman"/>
                <w:b w:val="0"/>
                <w:bCs/>
                <w:color w:val="auto"/>
                <w:sz w:val="24"/>
                <w:szCs w:val="24"/>
                <w:highlight w:val="none"/>
                <w:lang w:val="en-US" w:eastAsia="zh-CN"/>
              </w:rPr>
              <w:t>文件</w:t>
            </w:r>
            <w:r>
              <w:rPr>
                <w:rFonts w:hint="eastAsia" w:ascii="Times New Roman" w:hAnsi="Times New Roman" w:eastAsia="仿宋_GB2312" w:cs="Times New Roman"/>
                <w:b w:val="0"/>
                <w:bCs/>
                <w:color w:val="auto"/>
                <w:sz w:val="24"/>
                <w:szCs w:val="24"/>
                <w:highlight w:val="none"/>
                <w:lang w:val="en-US" w:eastAsia="zh-CN"/>
              </w:rPr>
              <w:t>附件齐全且未做</w:t>
            </w:r>
            <w:r>
              <w:rPr>
                <w:rFonts w:hint="eastAsia" w:ascii="Times New Roman" w:hAnsi="Times New Roman" w:eastAsia="仿宋_GB2312" w:cs="Times New Roman"/>
                <w:bCs/>
                <w:color w:val="auto"/>
                <w:sz w:val="24"/>
                <w:highlight w:val="none"/>
              </w:rPr>
              <w:t>实质性修改</w:t>
            </w:r>
            <w:r>
              <w:rPr>
                <w:rFonts w:hint="default" w:ascii="Times New Roman" w:hAnsi="Times New Roman" w:eastAsia="仿宋_GB2312" w:cs="Times New Roman"/>
                <w:b w:val="0"/>
                <w:bCs/>
                <w:color w:val="auto"/>
                <w:sz w:val="24"/>
                <w:szCs w:val="24"/>
                <w:highlight w:val="none"/>
                <w:lang w:val="en-US" w:eastAsia="zh-CN"/>
              </w:rPr>
              <w:t>（签署</w:t>
            </w:r>
            <w:r>
              <w:rPr>
                <w:rFonts w:hint="eastAsia" w:ascii="Times New Roman" w:hAnsi="Times New Roman" w:eastAsia="仿宋_GB2312" w:cs="Times New Roman"/>
                <w:b w:val="0"/>
                <w:bCs/>
                <w:color w:val="auto"/>
                <w:sz w:val="24"/>
                <w:szCs w:val="24"/>
                <w:highlight w:val="none"/>
                <w:lang w:val="en-US" w:eastAsia="zh-CN"/>
              </w:rPr>
              <w:t>附件1-4</w:t>
            </w:r>
            <w:r>
              <w:rPr>
                <w:rFonts w:hint="default" w:ascii="Times New Roman" w:hAnsi="Times New Roman" w:eastAsia="仿宋_GB2312" w:cs="Times New Roman"/>
                <w:b w:val="0"/>
                <w:bCs/>
                <w:color w:val="auto"/>
                <w:sz w:val="24"/>
                <w:szCs w:val="24"/>
                <w:highlight w:val="none"/>
                <w:lang w:val="en-US" w:eastAsia="zh-CN"/>
              </w:rPr>
              <w:t>）</w:t>
            </w:r>
          </w:p>
        </w:tc>
      </w:tr>
    </w:tbl>
    <w:p w14:paraId="7264AA2E">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 xml:space="preserve"> 注意：响应文件中的大写金额与小写金额不一致的，以大写金额为准；</w:t>
      </w:r>
    </w:p>
    <w:p w14:paraId="0FE6578A">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（二）综合评价</w:t>
      </w:r>
    </w:p>
    <w:p w14:paraId="3A52BBCC">
      <w:pPr>
        <w:spacing w:line="578"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1.评分标准</w:t>
      </w:r>
    </w:p>
    <w:p w14:paraId="07EDDA82">
      <w:pPr>
        <w:spacing w:line="578" w:lineRule="exact"/>
        <w:ind w:firstLine="64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（1）综合评价的《评分标准表》如下：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127"/>
        <w:gridCol w:w="5607"/>
      </w:tblGrid>
      <w:tr w14:paraId="2920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2" w:type="dxa"/>
            <w:vAlign w:val="center"/>
          </w:tcPr>
          <w:p w14:paraId="0A3C703A">
            <w:pPr>
              <w:widowControl/>
              <w:spacing w:line="240" w:lineRule="auto"/>
              <w:jc w:val="center"/>
              <w:rPr>
                <w:rFonts w:ascii="仿宋" w:hAnsi="仿宋" w:eastAsia="仿宋" w:cs="Segoe UI"/>
                <w:b/>
                <w:color w:val="0F1115"/>
                <w:sz w:val="24"/>
              </w:rPr>
            </w:pPr>
            <w:r>
              <w:rPr>
                <w:rFonts w:hint="eastAsia" w:ascii="仿宋" w:hAnsi="仿宋" w:eastAsia="仿宋" w:cs="Segoe UI"/>
                <w:b/>
                <w:color w:val="0F1115"/>
                <w:sz w:val="24"/>
              </w:rPr>
              <w:t>序</w:t>
            </w:r>
            <w:r>
              <w:rPr>
                <w:rFonts w:ascii="仿宋" w:hAnsi="仿宋" w:eastAsia="仿宋" w:cs="Segoe UI"/>
                <w:b/>
                <w:color w:val="0F1115"/>
                <w:sz w:val="24"/>
              </w:rPr>
              <w:t>号</w:t>
            </w:r>
          </w:p>
        </w:tc>
        <w:tc>
          <w:tcPr>
            <w:tcW w:w="2127" w:type="dxa"/>
            <w:vAlign w:val="center"/>
          </w:tcPr>
          <w:p w14:paraId="7908626A">
            <w:pPr>
              <w:spacing w:line="240" w:lineRule="auto"/>
              <w:jc w:val="center"/>
              <w:rPr>
                <w:rFonts w:ascii="仿宋" w:hAnsi="仿宋" w:eastAsia="仿宋" w:cs="Segoe UI"/>
                <w:b/>
                <w:color w:val="0F1115"/>
                <w:sz w:val="24"/>
              </w:rPr>
            </w:pPr>
            <w:r>
              <w:rPr>
                <w:rFonts w:ascii="仿宋" w:hAnsi="仿宋" w:eastAsia="仿宋" w:cs="Segoe UI"/>
                <w:b/>
                <w:color w:val="0F1115"/>
                <w:sz w:val="24"/>
              </w:rPr>
              <w:t>评审内容</w:t>
            </w:r>
          </w:p>
        </w:tc>
        <w:tc>
          <w:tcPr>
            <w:tcW w:w="5607" w:type="dxa"/>
            <w:vAlign w:val="center"/>
          </w:tcPr>
          <w:p w14:paraId="025BE357">
            <w:pPr>
              <w:spacing w:line="240" w:lineRule="auto"/>
              <w:jc w:val="center"/>
              <w:rPr>
                <w:rFonts w:ascii="仿宋" w:hAnsi="仿宋" w:eastAsia="仿宋" w:cs="Segoe UI"/>
                <w:b/>
                <w:color w:val="0F1115"/>
                <w:sz w:val="24"/>
              </w:rPr>
            </w:pPr>
            <w:r>
              <w:rPr>
                <w:rFonts w:ascii="仿宋" w:hAnsi="仿宋" w:eastAsia="仿宋" w:cs="Segoe UI"/>
                <w:b/>
                <w:color w:val="0F1115"/>
                <w:sz w:val="24"/>
              </w:rPr>
              <w:t>评分标准</w:t>
            </w:r>
          </w:p>
        </w:tc>
      </w:tr>
      <w:tr w14:paraId="5870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6" w:type="dxa"/>
            <w:gridSpan w:val="3"/>
            <w:vAlign w:val="center"/>
          </w:tcPr>
          <w:p w14:paraId="7690DFFC">
            <w:pPr>
              <w:spacing w:line="240" w:lineRule="auto"/>
              <w:jc w:val="center"/>
              <w:rPr>
                <w:rFonts w:ascii="仿宋" w:hAnsi="仿宋" w:eastAsia="仿宋" w:cs="Segoe UI"/>
                <w:b/>
                <w:color w:val="0F1115"/>
                <w:sz w:val="24"/>
              </w:rPr>
            </w:pPr>
            <w:r>
              <w:rPr>
                <w:rFonts w:hint="eastAsia" w:ascii="仿宋" w:hAnsi="仿宋" w:eastAsia="仿宋" w:cs="Segoe UI"/>
                <w:b/>
                <w:color w:val="0F1115"/>
                <w:sz w:val="24"/>
              </w:rPr>
              <w:t>商务部分（</w:t>
            </w:r>
            <w:r>
              <w:rPr>
                <w:rFonts w:hint="eastAsia" w:ascii="仿宋" w:hAnsi="仿宋" w:eastAsia="仿宋" w:cs="Segoe UI"/>
                <w:b/>
                <w:color w:val="0F1115"/>
                <w:sz w:val="24"/>
                <w:lang w:val="en-US" w:eastAsia="zh-CN"/>
              </w:rPr>
              <w:t>25</w:t>
            </w:r>
            <w:r>
              <w:rPr>
                <w:rFonts w:hint="eastAsia" w:ascii="仿宋" w:hAnsi="仿宋" w:eastAsia="仿宋" w:cs="Segoe UI"/>
                <w:b/>
                <w:color w:val="0F1115"/>
                <w:sz w:val="24"/>
              </w:rPr>
              <w:t>分）</w:t>
            </w:r>
          </w:p>
        </w:tc>
      </w:tr>
      <w:tr w14:paraId="7448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2" w:type="dxa"/>
            <w:vAlign w:val="center"/>
          </w:tcPr>
          <w:p w14:paraId="3C9D8272">
            <w:pPr>
              <w:spacing w:line="240" w:lineRule="auto"/>
              <w:jc w:val="center"/>
              <w:rPr>
                <w:rFonts w:ascii="仿宋" w:hAnsi="仿宋" w:eastAsia="仿宋" w:cs="Segoe UI"/>
                <w:color w:val="0F1115"/>
                <w:sz w:val="24"/>
              </w:rPr>
            </w:pPr>
            <w:r>
              <w:rPr>
                <w:rStyle w:val="19"/>
                <w:rFonts w:ascii="仿宋" w:hAnsi="仿宋" w:eastAsia="仿宋" w:cs="Segoe UI"/>
                <w:color w:val="0F1115"/>
                <w:sz w:val="24"/>
              </w:rPr>
              <w:t>1</w:t>
            </w:r>
          </w:p>
        </w:tc>
        <w:tc>
          <w:tcPr>
            <w:tcW w:w="2127" w:type="dxa"/>
            <w:vAlign w:val="center"/>
          </w:tcPr>
          <w:p w14:paraId="377A59D0">
            <w:pPr>
              <w:spacing w:line="240" w:lineRule="auto"/>
              <w:jc w:val="center"/>
              <w:rPr>
                <w:rFonts w:ascii="仿宋" w:hAnsi="仿宋" w:eastAsia="仿宋" w:cs="Segoe UI"/>
                <w:color w:val="0F1115"/>
                <w:sz w:val="24"/>
              </w:rPr>
            </w:pPr>
            <w:r>
              <w:rPr>
                <w:rStyle w:val="19"/>
                <w:rFonts w:ascii="仿宋" w:hAnsi="仿宋" w:eastAsia="仿宋" w:cs="Segoe UI"/>
                <w:color w:val="0F1115"/>
                <w:sz w:val="24"/>
              </w:rPr>
              <w:t>报价(</w:t>
            </w:r>
            <w:r>
              <w:rPr>
                <w:rStyle w:val="19"/>
                <w:rFonts w:hint="eastAsia" w:ascii="仿宋" w:hAnsi="仿宋" w:eastAsia="仿宋" w:cs="Segoe UI"/>
                <w:color w:val="0F1115"/>
                <w:sz w:val="24"/>
                <w:lang w:val="en-US" w:eastAsia="zh-CN"/>
              </w:rPr>
              <w:t>25</w:t>
            </w:r>
            <w:r>
              <w:rPr>
                <w:rStyle w:val="19"/>
                <w:rFonts w:ascii="仿宋" w:hAnsi="仿宋" w:eastAsia="仿宋" w:cs="Segoe UI"/>
                <w:color w:val="0F1115"/>
                <w:sz w:val="24"/>
              </w:rPr>
              <w:t>分)</w:t>
            </w:r>
          </w:p>
        </w:tc>
        <w:tc>
          <w:tcPr>
            <w:tcW w:w="5607" w:type="dxa"/>
            <w:vAlign w:val="center"/>
          </w:tcPr>
          <w:p w14:paraId="1D65E363">
            <w:pPr>
              <w:spacing w:line="240" w:lineRule="auto"/>
              <w:rPr>
                <w:rFonts w:ascii="仿宋" w:hAnsi="仿宋" w:eastAsia="仿宋" w:cs="Segoe UI"/>
                <w:color w:val="0F1115"/>
                <w:sz w:val="24"/>
              </w:rPr>
            </w:pPr>
            <w:r>
              <w:rPr>
                <w:rFonts w:ascii="仿宋" w:hAnsi="仿宋" w:eastAsia="仿宋" w:cs="Segoe UI"/>
                <w:color w:val="0F1115"/>
                <w:sz w:val="24"/>
              </w:rPr>
              <w:t>1.采购确定的上限价为人民币</w:t>
            </w:r>
            <w:r>
              <w:rPr>
                <w:rFonts w:hint="eastAsia" w:ascii="仿宋" w:hAnsi="仿宋" w:eastAsia="仿宋" w:cs="Segoe UI"/>
                <w:color w:val="0F1115"/>
                <w:sz w:val="24"/>
              </w:rPr>
              <w:t>【</w:t>
            </w:r>
            <w:r>
              <w:rPr>
                <w:rFonts w:hint="eastAsia" w:ascii="仿宋" w:hAnsi="仿宋" w:eastAsia="仿宋" w:cs="Segoe UI"/>
                <w:color w:val="0F1115"/>
                <w:sz w:val="24"/>
                <w:lang w:val="en-US" w:eastAsia="zh-CN"/>
              </w:rPr>
              <w:t>20】万元（含税）</w:t>
            </w:r>
            <w:r>
              <w:rPr>
                <w:rFonts w:ascii="仿宋" w:hAnsi="仿宋" w:eastAsia="仿宋" w:cs="Segoe UI"/>
                <w:color w:val="0F1115"/>
                <w:sz w:val="24"/>
              </w:rPr>
              <w:t>。投标人的报价如超过上限价，将作为无效标处理，同时其报价不计入评标基准价的计算。</w:t>
            </w:r>
            <w:r>
              <w:rPr>
                <w:rFonts w:hint="eastAsia" w:ascii="仿宋" w:hAnsi="仿宋" w:eastAsia="仿宋" w:cs="Segoe UI"/>
                <w:color w:val="0F1115"/>
                <w:sz w:val="24"/>
                <w:lang w:val="en-US" w:eastAsia="zh-CN"/>
              </w:rPr>
              <w:t xml:space="preserve"> </w:t>
            </w:r>
            <w:r>
              <w:rPr>
                <w:rFonts w:ascii="仿宋" w:hAnsi="仿宋" w:eastAsia="仿宋" w:cs="Segoe UI"/>
                <w:color w:val="0F1115"/>
                <w:sz w:val="24"/>
              </w:rPr>
              <w:br w:type="textWrapping"/>
            </w:r>
            <w:r>
              <w:rPr>
                <w:rFonts w:ascii="仿宋" w:hAnsi="仿宋" w:eastAsia="仿宋" w:cs="Segoe UI"/>
                <w:color w:val="0F1115"/>
                <w:sz w:val="24"/>
              </w:rPr>
              <w:t>2.评标基准价：满足采购文件要求的所有投标人评标费用报价的平均值。</w:t>
            </w:r>
            <w:r>
              <w:rPr>
                <w:rFonts w:ascii="仿宋" w:hAnsi="仿宋" w:eastAsia="仿宋" w:cs="Segoe UI"/>
                <w:color w:val="0F1115"/>
                <w:sz w:val="24"/>
              </w:rPr>
              <w:br w:type="textWrapping"/>
            </w:r>
            <w:r>
              <w:rPr>
                <w:rFonts w:ascii="仿宋" w:hAnsi="仿宋" w:eastAsia="仿宋" w:cs="Segoe UI"/>
                <w:color w:val="0F1115"/>
                <w:sz w:val="24"/>
              </w:rPr>
              <w:t>3.报价得分计算</w:t>
            </w:r>
            <w:r>
              <w:rPr>
                <w:rFonts w:hint="eastAsia" w:ascii="仿宋" w:hAnsi="仿宋" w:eastAsia="仿宋" w:cs="Segoe UI"/>
                <w:color w:val="0F1115"/>
                <w:sz w:val="24"/>
              </w:rPr>
              <w:t>方式：投标人报价偏离评标基准价的，每偏离1</w:t>
            </w:r>
            <w:r>
              <w:rPr>
                <w:rFonts w:ascii="仿宋" w:hAnsi="仿宋" w:eastAsia="仿宋" w:cs="Segoe UI"/>
                <w:color w:val="0F1115"/>
                <w:sz w:val="24"/>
              </w:rPr>
              <w:t>%</w:t>
            </w:r>
            <w:r>
              <w:rPr>
                <w:rFonts w:hint="eastAsia" w:ascii="仿宋" w:hAnsi="仿宋" w:eastAsia="仿宋" w:cs="Segoe UI"/>
                <w:color w:val="0F1115"/>
                <w:sz w:val="24"/>
              </w:rPr>
              <w:t>，在报价总分</w:t>
            </w:r>
            <w:r>
              <w:rPr>
                <w:rFonts w:hint="eastAsia" w:ascii="仿宋" w:hAnsi="仿宋" w:eastAsia="仿宋" w:cs="Segoe UI"/>
                <w:color w:val="0F1115"/>
                <w:sz w:val="24"/>
                <w:lang w:val="en-US" w:eastAsia="zh-CN"/>
              </w:rPr>
              <w:t>25</w:t>
            </w:r>
            <w:r>
              <w:rPr>
                <w:rFonts w:hint="eastAsia" w:ascii="仿宋" w:hAnsi="仿宋" w:eastAsia="仿宋" w:cs="Segoe UI"/>
                <w:color w:val="0F1115"/>
                <w:sz w:val="24"/>
              </w:rPr>
              <w:t>分的基础上扣0</w:t>
            </w:r>
            <w:r>
              <w:rPr>
                <w:rFonts w:ascii="仿宋" w:hAnsi="仿宋" w:eastAsia="仿宋" w:cs="Segoe UI"/>
                <w:color w:val="0F1115"/>
                <w:sz w:val="24"/>
              </w:rPr>
              <w:t>.</w:t>
            </w:r>
            <w:r>
              <w:rPr>
                <w:rFonts w:hint="eastAsia" w:ascii="仿宋" w:hAnsi="仿宋" w:eastAsia="仿宋" w:cs="Segoe UI"/>
                <w:color w:val="0F1115"/>
                <w:sz w:val="24"/>
                <w:lang w:val="en-US" w:eastAsia="zh-CN"/>
              </w:rPr>
              <w:t>2</w:t>
            </w:r>
            <w:r>
              <w:rPr>
                <w:rFonts w:hint="eastAsia" w:ascii="仿宋" w:hAnsi="仿宋" w:eastAsia="仿宋" w:cs="Segoe UI"/>
                <w:color w:val="0F1115"/>
                <w:sz w:val="24"/>
              </w:rPr>
              <w:t>分。</w:t>
            </w:r>
          </w:p>
        </w:tc>
      </w:tr>
      <w:tr w14:paraId="2FE7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96" w:type="dxa"/>
            <w:gridSpan w:val="3"/>
            <w:vAlign w:val="center"/>
          </w:tcPr>
          <w:p w14:paraId="641AB783">
            <w:pPr>
              <w:spacing w:line="240" w:lineRule="auto"/>
              <w:jc w:val="center"/>
              <w:rPr>
                <w:rFonts w:ascii="仿宋" w:hAnsi="仿宋" w:eastAsia="仿宋" w:cs="Segoe UI"/>
                <w:color w:val="0F1115"/>
                <w:sz w:val="24"/>
              </w:rPr>
            </w:pPr>
            <w:r>
              <w:rPr>
                <w:rStyle w:val="19"/>
                <w:rFonts w:hint="eastAsia" w:ascii="仿宋" w:hAnsi="仿宋" w:eastAsia="仿宋" w:cs="Segoe UI"/>
                <w:color w:val="0F1115"/>
                <w:sz w:val="24"/>
              </w:rPr>
              <w:t>技术</w:t>
            </w:r>
            <w:r>
              <w:rPr>
                <w:rStyle w:val="19"/>
                <w:rFonts w:ascii="仿宋" w:hAnsi="仿宋" w:eastAsia="仿宋" w:cs="Segoe UI"/>
                <w:color w:val="0F1115"/>
                <w:sz w:val="24"/>
              </w:rPr>
              <w:t>部分（</w:t>
            </w:r>
            <w:r>
              <w:rPr>
                <w:rStyle w:val="19"/>
                <w:rFonts w:hint="eastAsia" w:ascii="仿宋" w:hAnsi="仿宋" w:eastAsia="仿宋" w:cs="Segoe UI"/>
                <w:color w:val="0F1115"/>
                <w:sz w:val="24"/>
                <w:lang w:val="en-US" w:eastAsia="zh-CN"/>
              </w:rPr>
              <w:t>75</w:t>
            </w:r>
            <w:r>
              <w:rPr>
                <w:rStyle w:val="19"/>
                <w:rFonts w:ascii="仿宋" w:hAnsi="仿宋" w:eastAsia="仿宋" w:cs="Segoe UI"/>
                <w:color w:val="0F1115"/>
                <w:sz w:val="24"/>
              </w:rPr>
              <w:t>分）</w:t>
            </w:r>
          </w:p>
        </w:tc>
      </w:tr>
      <w:tr w14:paraId="64BA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2" w:type="dxa"/>
            <w:vAlign w:val="center"/>
          </w:tcPr>
          <w:p w14:paraId="5A727C9A">
            <w:pPr>
              <w:spacing w:line="240" w:lineRule="auto"/>
              <w:jc w:val="center"/>
              <w:rPr>
                <w:rFonts w:hint="eastAsia" w:ascii="仿宋" w:hAnsi="仿宋" w:eastAsia="仿宋" w:cs="Segoe UI"/>
                <w:color w:val="0F1115"/>
                <w:sz w:val="24"/>
                <w:lang w:eastAsia="zh-CN"/>
              </w:rPr>
            </w:pPr>
            <w:r>
              <w:rPr>
                <w:rStyle w:val="19"/>
                <w:rFonts w:hint="eastAsia" w:ascii="仿宋" w:hAnsi="仿宋" w:eastAsia="仿宋"/>
                <w:sz w:val="24"/>
                <w:lang w:val="en-US" w:eastAsia="zh-CN"/>
              </w:rPr>
              <w:t>2</w:t>
            </w:r>
          </w:p>
        </w:tc>
        <w:tc>
          <w:tcPr>
            <w:tcW w:w="2127" w:type="dxa"/>
            <w:vAlign w:val="center"/>
          </w:tcPr>
          <w:p w14:paraId="2DEB8558">
            <w:pPr>
              <w:spacing w:line="240" w:lineRule="auto"/>
              <w:jc w:val="center"/>
              <w:rPr>
                <w:rFonts w:ascii="仿宋" w:hAnsi="仿宋" w:eastAsia="仿宋" w:cs="Segoe UI"/>
                <w:color w:val="0F1115"/>
                <w:sz w:val="24"/>
              </w:rPr>
            </w:pPr>
            <w:r>
              <w:rPr>
                <w:rStyle w:val="19"/>
                <w:rFonts w:ascii="仿宋" w:hAnsi="仿宋" w:eastAsia="仿宋" w:cs="Segoe UI"/>
                <w:color w:val="0F1115"/>
                <w:sz w:val="24"/>
              </w:rPr>
              <w:t>服务方案(</w:t>
            </w:r>
            <w:r>
              <w:rPr>
                <w:rStyle w:val="19"/>
                <w:rFonts w:hint="eastAsia" w:ascii="仿宋" w:hAnsi="仿宋" w:eastAsia="仿宋" w:cs="Segoe UI"/>
                <w:color w:val="0F1115"/>
                <w:sz w:val="24"/>
                <w:lang w:val="en-US" w:eastAsia="zh-CN"/>
              </w:rPr>
              <w:t>30</w:t>
            </w:r>
            <w:r>
              <w:rPr>
                <w:rStyle w:val="19"/>
                <w:rFonts w:ascii="仿宋" w:hAnsi="仿宋" w:eastAsia="仿宋" w:cs="Segoe UI"/>
                <w:color w:val="0F1115"/>
                <w:sz w:val="24"/>
              </w:rPr>
              <w:t>分)</w:t>
            </w:r>
          </w:p>
        </w:tc>
        <w:tc>
          <w:tcPr>
            <w:tcW w:w="5607" w:type="dxa"/>
            <w:vAlign w:val="center"/>
          </w:tcPr>
          <w:p w14:paraId="642F3B98">
            <w:pPr>
              <w:spacing w:line="240" w:lineRule="auto"/>
              <w:rPr>
                <w:rFonts w:hint="eastAsia" w:ascii="仿宋" w:hAnsi="仿宋" w:eastAsia="仿宋" w:cs="Segoe UI"/>
                <w:color w:val="0F1115"/>
                <w:sz w:val="24"/>
              </w:rPr>
            </w:pPr>
            <w:r>
              <w:rPr>
                <w:rFonts w:hint="eastAsia" w:ascii="仿宋" w:hAnsi="仿宋" w:eastAsia="仿宋" w:cs="Segoe UI"/>
                <w:color w:val="0F1115"/>
                <w:sz w:val="24"/>
                <w:lang w:eastAsia="zh-CN"/>
              </w:rPr>
              <w:t>（</w:t>
            </w:r>
            <w:r>
              <w:rPr>
                <w:rFonts w:hint="eastAsia" w:ascii="仿宋" w:hAnsi="仿宋" w:eastAsia="仿宋" w:cs="Segoe UI"/>
                <w:color w:val="0F1115"/>
                <w:sz w:val="24"/>
                <w:lang w:val="en-US" w:eastAsia="zh-CN"/>
              </w:rPr>
              <w:t>一）</w:t>
            </w:r>
            <w:r>
              <w:rPr>
                <w:rFonts w:hint="eastAsia" w:ascii="仿宋" w:hAnsi="仿宋" w:eastAsia="仿宋" w:cs="Segoe UI"/>
                <w:color w:val="0F1115"/>
                <w:sz w:val="24"/>
              </w:rPr>
              <w:t>服务方案至少应包括：</w:t>
            </w:r>
          </w:p>
          <w:p w14:paraId="34C90FFF">
            <w:pPr>
              <w:numPr>
                <w:ilvl w:val="0"/>
                <w:numId w:val="7"/>
              </w:numPr>
              <w:spacing w:line="240" w:lineRule="auto"/>
              <w:rPr>
                <w:rFonts w:hint="eastAsia" w:ascii="仿宋" w:hAnsi="仿宋" w:eastAsia="仿宋" w:cs="Segoe UI"/>
                <w:color w:val="0F1115"/>
                <w:sz w:val="24"/>
              </w:rPr>
            </w:pPr>
            <w:r>
              <w:rPr>
                <w:rFonts w:hint="eastAsia" w:ascii="仿宋" w:hAnsi="仿宋" w:eastAsia="仿宋" w:cs="Segoe UI"/>
                <w:color w:val="0F1115"/>
                <w:sz w:val="24"/>
              </w:rPr>
              <w:t>为发行公司债、票据等提供法律服务的情况介绍；</w:t>
            </w:r>
          </w:p>
          <w:p w14:paraId="078AD49D">
            <w:pPr>
              <w:numPr>
                <w:ilvl w:val="0"/>
                <w:numId w:val="7"/>
              </w:numPr>
              <w:spacing w:line="240" w:lineRule="auto"/>
              <w:rPr>
                <w:rFonts w:ascii="仿宋" w:hAnsi="仿宋" w:eastAsia="仿宋" w:cs="Segoe UI"/>
                <w:color w:val="0F1115"/>
                <w:sz w:val="24"/>
              </w:rPr>
            </w:pPr>
            <w:r>
              <w:rPr>
                <w:rFonts w:hint="eastAsia" w:ascii="仿宋" w:hAnsi="仿宋" w:eastAsia="仿宋" w:cs="Segoe UI"/>
                <w:color w:val="0F1115"/>
                <w:sz w:val="24"/>
              </w:rPr>
              <w:t>具备可行性和针对性，详实、具体的法律服务方案；</w:t>
            </w:r>
          </w:p>
          <w:p w14:paraId="612CE4A2">
            <w:pPr>
              <w:numPr>
                <w:ilvl w:val="0"/>
                <w:numId w:val="7"/>
              </w:numPr>
              <w:spacing w:line="240" w:lineRule="auto"/>
              <w:rPr>
                <w:rFonts w:ascii="仿宋" w:hAnsi="仿宋" w:eastAsia="仿宋" w:cs="Segoe UI"/>
                <w:color w:val="0F1115"/>
                <w:sz w:val="24"/>
              </w:rPr>
            </w:pPr>
            <w:r>
              <w:rPr>
                <w:rFonts w:hint="eastAsia" w:ascii="仿宋" w:hAnsi="仿宋" w:eastAsia="仿宋" w:cs="Segoe UI"/>
                <w:color w:val="0F1115"/>
                <w:sz w:val="24"/>
              </w:rPr>
              <w:t>工作质量保证措施和工作成果提交保证措施；</w:t>
            </w:r>
          </w:p>
          <w:p w14:paraId="37E0F21A">
            <w:pPr>
              <w:numPr>
                <w:ilvl w:val="0"/>
                <w:numId w:val="7"/>
              </w:numPr>
              <w:spacing w:line="240" w:lineRule="auto"/>
              <w:rPr>
                <w:rFonts w:ascii="仿宋" w:hAnsi="仿宋" w:eastAsia="仿宋" w:cs="Segoe UI"/>
                <w:color w:val="0F1115"/>
                <w:sz w:val="24"/>
              </w:rPr>
            </w:pPr>
            <w:r>
              <w:rPr>
                <w:rFonts w:hint="eastAsia" w:ascii="仿宋" w:hAnsi="仿宋" w:eastAsia="仿宋" w:cs="Segoe UI"/>
                <w:color w:val="0F1115"/>
                <w:sz w:val="24"/>
              </w:rPr>
              <w:t>服务响应和服务承诺情况。</w:t>
            </w:r>
          </w:p>
          <w:p w14:paraId="0301FD5B">
            <w:pPr>
              <w:numPr>
                <w:ilvl w:val="0"/>
                <w:numId w:val="0"/>
              </w:numPr>
              <w:spacing w:line="240" w:lineRule="auto"/>
              <w:rPr>
                <w:rFonts w:ascii="仿宋" w:hAnsi="仿宋" w:eastAsia="仿宋" w:cs="Segoe UI"/>
                <w:color w:val="0F1115"/>
                <w:sz w:val="24"/>
              </w:rPr>
            </w:pPr>
            <w:r>
              <w:rPr>
                <w:rFonts w:hint="eastAsia" w:ascii="仿宋" w:hAnsi="仿宋" w:eastAsia="仿宋" w:cs="Segoe UI"/>
                <w:color w:val="0F1115"/>
                <w:sz w:val="24"/>
                <w:lang w:eastAsia="zh-CN"/>
              </w:rPr>
              <w:t>（</w:t>
            </w:r>
            <w:r>
              <w:rPr>
                <w:rFonts w:hint="eastAsia" w:ascii="仿宋" w:hAnsi="仿宋" w:eastAsia="仿宋" w:cs="Segoe UI"/>
                <w:color w:val="0F1115"/>
                <w:sz w:val="24"/>
                <w:lang w:val="en-US" w:eastAsia="zh-CN"/>
              </w:rPr>
              <w:t>二）</w:t>
            </w:r>
            <w:r>
              <w:rPr>
                <w:rFonts w:ascii="仿宋" w:hAnsi="仿宋" w:eastAsia="仿宋" w:cs="Segoe UI"/>
                <w:color w:val="0F1115"/>
                <w:sz w:val="24"/>
              </w:rPr>
              <w:t>根据参选人针对本项目提供的</w:t>
            </w:r>
            <w:r>
              <w:rPr>
                <w:rFonts w:hint="eastAsia" w:ascii="仿宋" w:hAnsi="仿宋" w:eastAsia="仿宋" w:cs="Segoe UI"/>
                <w:color w:val="0F1115"/>
                <w:sz w:val="24"/>
                <w:lang w:val="en-US" w:eastAsia="zh-CN"/>
              </w:rPr>
              <w:t>法律</w:t>
            </w:r>
            <w:r>
              <w:rPr>
                <w:rFonts w:ascii="仿宋" w:hAnsi="仿宋" w:eastAsia="仿宋" w:cs="Segoe UI"/>
                <w:color w:val="0F1115"/>
                <w:sz w:val="24"/>
              </w:rPr>
              <w:t>服务方案的详尽程度、合理性、可行性等要素进行综合评分：</w:t>
            </w:r>
            <w:r>
              <w:rPr>
                <w:rFonts w:ascii="仿宋" w:hAnsi="仿宋" w:eastAsia="仿宋" w:cs="Segoe UI"/>
                <w:color w:val="0F1115"/>
                <w:sz w:val="24"/>
              </w:rPr>
              <w:br w:type="textWrapping"/>
            </w:r>
            <w:r>
              <w:rPr>
                <w:rFonts w:ascii="仿宋" w:hAnsi="仿宋" w:eastAsia="仿宋" w:cs="Segoe UI"/>
                <w:color w:val="0F1115"/>
                <w:sz w:val="24"/>
              </w:rPr>
              <w:t>1.整体服务方案全面、服务时效有保障、具体、科学合理、可行性强，得2</w:t>
            </w:r>
            <w:r>
              <w:rPr>
                <w:rFonts w:hint="eastAsia" w:ascii="仿宋" w:hAnsi="仿宋" w:eastAsia="仿宋" w:cs="Segoe UI"/>
                <w:color w:val="0F1115"/>
                <w:sz w:val="24"/>
                <w:lang w:val="en-US" w:eastAsia="zh-CN"/>
              </w:rPr>
              <w:t>3</w:t>
            </w:r>
            <w:r>
              <w:rPr>
                <w:rFonts w:ascii="仿宋" w:hAnsi="仿宋" w:eastAsia="仿宋" w:cs="Segoe UI"/>
                <w:color w:val="0F1115"/>
                <w:sz w:val="24"/>
              </w:rPr>
              <w:t>-</w:t>
            </w:r>
            <w:r>
              <w:rPr>
                <w:rFonts w:hint="eastAsia" w:ascii="仿宋" w:hAnsi="仿宋" w:eastAsia="仿宋" w:cs="Segoe UI"/>
                <w:color w:val="0F1115"/>
                <w:sz w:val="24"/>
                <w:lang w:val="en-US" w:eastAsia="zh-CN"/>
              </w:rPr>
              <w:t>30</w:t>
            </w:r>
            <w:r>
              <w:rPr>
                <w:rFonts w:ascii="仿宋" w:hAnsi="仿宋" w:eastAsia="仿宋" w:cs="Segoe UI"/>
                <w:color w:val="0F1115"/>
                <w:sz w:val="24"/>
              </w:rPr>
              <w:t>分；</w:t>
            </w:r>
            <w:r>
              <w:rPr>
                <w:rFonts w:ascii="仿宋" w:hAnsi="仿宋" w:eastAsia="仿宋" w:cs="Segoe UI"/>
                <w:color w:val="0F1115"/>
                <w:sz w:val="24"/>
              </w:rPr>
              <w:br w:type="textWrapping"/>
            </w:r>
            <w:r>
              <w:rPr>
                <w:rFonts w:ascii="仿宋" w:hAnsi="仿宋" w:eastAsia="仿宋" w:cs="Segoe UI"/>
                <w:color w:val="0F1115"/>
                <w:sz w:val="24"/>
              </w:rPr>
              <w:t>2.整体服务方案较全面、合理、可行性较强，得16-2</w:t>
            </w:r>
            <w:r>
              <w:rPr>
                <w:rFonts w:hint="eastAsia" w:ascii="仿宋" w:hAnsi="仿宋" w:eastAsia="仿宋" w:cs="Segoe UI"/>
                <w:color w:val="0F1115"/>
                <w:sz w:val="24"/>
                <w:lang w:val="en-US" w:eastAsia="zh-CN"/>
              </w:rPr>
              <w:t>2</w:t>
            </w:r>
            <w:r>
              <w:rPr>
                <w:rFonts w:ascii="仿宋" w:hAnsi="仿宋" w:eastAsia="仿宋" w:cs="Segoe UI"/>
                <w:color w:val="0F1115"/>
                <w:sz w:val="24"/>
              </w:rPr>
              <w:t>分；</w:t>
            </w:r>
            <w:r>
              <w:rPr>
                <w:rFonts w:ascii="仿宋" w:hAnsi="仿宋" w:eastAsia="仿宋" w:cs="Segoe UI"/>
                <w:color w:val="0F1115"/>
                <w:sz w:val="24"/>
              </w:rPr>
              <w:br w:type="textWrapping"/>
            </w:r>
            <w:r>
              <w:rPr>
                <w:rFonts w:ascii="仿宋" w:hAnsi="仿宋" w:eastAsia="仿宋" w:cs="Segoe UI"/>
                <w:color w:val="0F1115"/>
                <w:sz w:val="24"/>
              </w:rPr>
              <w:t>3.服务方案部分内容描述详细合理、可行性一般，得11-15分；</w:t>
            </w:r>
            <w:r>
              <w:rPr>
                <w:rFonts w:ascii="仿宋" w:hAnsi="仿宋" w:eastAsia="仿宋" w:cs="Segoe UI"/>
                <w:color w:val="0F1115"/>
                <w:sz w:val="24"/>
              </w:rPr>
              <w:br w:type="textWrapping"/>
            </w:r>
            <w:r>
              <w:rPr>
                <w:rFonts w:ascii="仿宋" w:hAnsi="仿宋" w:eastAsia="仿宋" w:cs="Segoe UI"/>
                <w:color w:val="0F1115"/>
                <w:sz w:val="24"/>
              </w:rPr>
              <w:t>4.整体服务方案简单、可行性差的，得6-10分；</w:t>
            </w:r>
            <w:r>
              <w:rPr>
                <w:rFonts w:ascii="仿宋" w:hAnsi="仿宋" w:eastAsia="仿宋" w:cs="Segoe UI"/>
                <w:color w:val="0F1115"/>
                <w:sz w:val="24"/>
              </w:rPr>
              <w:br w:type="textWrapping"/>
            </w:r>
            <w:r>
              <w:rPr>
                <w:rFonts w:ascii="仿宋" w:hAnsi="仿宋" w:eastAsia="仿宋" w:cs="Segoe UI"/>
                <w:color w:val="0F1115"/>
                <w:sz w:val="24"/>
              </w:rPr>
              <w:t>5.未提供服务方案的，得0分。</w:t>
            </w:r>
          </w:p>
        </w:tc>
      </w:tr>
      <w:tr w14:paraId="1263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62" w:type="dxa"/>
            <w:vAlign w:val="center"/>
          </w:tcPr>
          <w:p w14:paraId="0CAC569A">
            <w:pPr>
              <w:spacing w:line="240" w:lineRule="auto"/>
              <w:jc w:val="center"/>
              <w:rPr>
                <w:rStyle w:val="19"/>
                <w:rFonts w:hint="eastAsia" w:ascii="仿宋" w:hAnsi="仿宋" w:eastAsia="仿宋"/>
                <w:sz w:val="24"/>
                <w:lang w:eastAsia="zh-CN"/>
              </w:rPr>
            </w:pPr>
            <w:r>
              <w:rPr>
                <w:rStyle w:val="19"/>
                <w:rFonts w:hint="eastAsia" w:ascii="仿宋" w:hAnsi="仿宋" w:eastAsia="仿宋"/>
                <w:sz w:val="24"/>
                <w:lang w:val="en-US" w:eastAsia="zh-CN"/>
              </w:rPr>
              <w:t>3</w:t>
            </w:r>
          </w:p>
        </w:tc>
        <w:tc>
          <w:tcPr>
            <w:tcW w:w="2127" w:type="dxa"/>
            <w:vAlign w:val="center"/>
          </w:tcPr>
          <w:p w14:paraId="5FF75C02">
            <w:pPr>
              <w:spacing w:line="240" w:lineRule="auto"/>
              <w:jc w:val="center"/>
              <w:rPr>
                <w:rStyle w:val="19"/>
                <w:rFonts w:ascii="仿宋" w:hAnsi="仿宋" w:eastAsia="仿宋" w:cs="Segoe UI"/>
                <w:color w:val="0F1115"/>
                <w:sz w:val="24"/>
              </w:rPr>
            </w:pPr>
            <w:r>
              <w:rPr>
                <w:rStyle w:val="19"/>
                <w:rFonts w:hint="eastAsia" w:ascii="仿宋" w:hAnsi="仿宋" w:eastAsia="仿宋" w:cs="Segoe UI"/>
                <w:color w:val="0F1115"/>
                <w:sz w:val="24"/>
                <w:lang w:val="en-US" w:eastAsia="zh-CN"/>
              </w:rPr>
              <w:t>人员资质与团队业绩</w:t>
            </w:r>
            <w:r>
              <w:rPr>
                <w:rStyle w:val="19"/>
                <w:rFonts w:hint="eastAsia" w:ascii="仿宋" w:hAnsi="仿宋" w:eastAsia="仿宋" w:cs="Segoe UI"/>
                <w:color w:val="0F1115"/>
                <w:sz w:val="24"/>
              </w:rPr>
              <w:t>（</w:t>
            </w:r>
            <w:r>
              <w:rPr>
                <w:rStyle w:val="19"/>
                <w:rFonts w:hint="eastAsia" w:ascii="仿宋" w:hAnsi="仿宋" w:eastAsia="仿宋" w:cs="Segoe UI"/>
                <w:color w:val="0F1115"/>
                <w:sz w:val="24"/>
                <w:lang w:val="en-US" w:eastAsia="zh-CN"/>
              </w:rPr>
              <w:t>45</w:t>
            </w:r>
            <w:r>
              <w:rPr>
                <w:rStyle w:val="19"/>
                <w:rFonts w:hint="eastAsia" w:ascii="仿宋" w:hAnsi="仿宋" w:eastAsia="仿宋" w:cs="Segoe UI"/>
                <w:color w:val="0F1115"/>
                <w:sz w:val="24"/>
              </w:rPr>
              <w:t>分）</w:t>
            </w:r>
          </w:p>
        </w:tc>
        <w:tc>
          <w:tcPr>
            <w:tcW w:w="5607" w:type="dxa"/>
            <w:vAlign w:val="center"/>
          </w:tcPr>
          <w:p w14:paraId="209E31BD">
            <w:pPr>
              <w:pStyle w:val="14"/>
              <w:spacing w:before="0" w:beforeAutospacing="0" w:after="0" w:afterAutospacing="0" w:line="240" w:lineRule="auto"/>
              <w:rPr>
                <w:rFonts w:hint="eastAsia" w:ascii="仿宋" w:hAnsi="仿宋" w:eastAsia="仿宋"/>
                <w:lang w:val="en-US" w:eastAsia="zh-CN"/>
              </w:rPr>
            </w:pPr>
            <w:r>
              <w:rPr>
                <w:rFonts w:hint="eastAsia" w:ascii="仿宋" w:hAnsi="仿宋" w:eastAsia="仿宋"/>
                <w:lang w:val="en-US" w:eastAsia="zh-CN"/>
              </w:rPr>
              <w:t>（一）项目负责人、主办律师资质与业绩：</w:t>
            </w:r>
          </w:p>
          <w:p w14:paraId="28A95F56">
            <w:pPr>
              <w:pStyle w:val="14"/>
              <w:numPr>
                <w:ilvl w:val="0"/>
                <w:numId w:val="0"/>
              </w:numPr>
              <w:spacing w:before="0" w:beforeAutospacing="0" w:after="0" w:afterAutospacing="0" w:line="240" w:lineRule="auto"/>
              <w:ind w:left="0" w:leftChars="0" w:right="0" w:rightChars="0"/>
              <w:rPr>
                <w:rFonts w:hint="eastAsia" w:ascii="仿宋" w:hAnsi="仿宋" w:eastAsia="仿宋"/>
                <w:lang w:val="en-US" w:eastAsia="zh-CN"/>
              </w:rPr>
            </w:pPr>
            <w:r>
              <w:rPr>
                <w:rFonts w:hint="eastAsia" w:ascii="仿宋" w:hAnsi="仿宋" w:eastAsia="仿宋" w:cstheme="minorBidi"/>
                <w:kern w:val="0"/>
                <w:sz w:val="24"/>
                <w:szCs w:val="24"/>
                <w:lang w:val="en-US" w:eastAsia="zh-CN" w:bidi="ar"/>
              </w:rPr>
              <w:t>1.</w:t>
            </w:r>
            <w:r>
              <w:rPr>
                <w:rFonts w:hint="eastAsia" w:ascii="仿宋" w:hAnsi="仿宋" w:eastAsia="仿宋"/>
                <w:lang w:val="en-US" w:eastAsia="zh-CN"/>
              </w:rPr>
              <w:t>项目负责人满足律师职业年限为5年（含）以上的、主办律师满足律师职业年限为3年（含）以上的，则其业绩可以统计入本项，项目负责人和主办律师人数合计超过3名的，则按个人业绩排序，经统计排名前3人的业绩，其余人员的业绩计入其他团队成员业绩。</w:t>
            </w:r>
          </w:p>
          <w:p w14:paraId="281D0999">
            <w:pPr>
              <w:pStyle w:val="14"/>
              <w:numPr>
                <w:ilvl w:val="0"/>
                <w:numId w:val="0"/>
              </w:numPr>
              <w:spacing w:before="0" w:beforeAutospacing="0" w:after="0" w:afterAutospacing="0" w:line="240" w:lineRule="auto"/>
              <w:ind w:left="0" w:leftChars="0" w:right="0" w:rightChars="0"/>
              <w:rPr>
                <w:rFonts w:hint="eastAsia" w:ascii="仿宋" w:hAnsi="仿宋" w:eastAsia="仿宋"/>
                <w:lang w:val="en-US" w:eastAsia="zh-CN"/>
              </w:rPr>
            </w:pPr>
            <w:r>
              <w:rPr>
                <w:rFonts w:hint="eastAsia" w:ascii="仿宋" w:hAnsi="仿宋" w:eastAsia="仿宋" w:cstheme="minorBidi"/>
                <w:kern w:val="0"/>
                <w:sz w:val="24"/>
                <w:szCs w:val="24"/>
                <w:lang w:val="en-US" w:eastAsia="zh-CN" w:bidi="ar"/>
              </w:rPr>
              <w:t>2.</w:t>
            </w:r>
            <w:r>
              <w:rPr>
                <w:rFonts w:hint="eastAsia" w:ascii="仿宋" w:hAnsi="仿宋" w:eastAsia="仿宋"/>
                <w:lang w:val="en-US" w:eastAsia="zh-CN"/>
              </w:rPr>
              <w:t>近五年，提供法律服务的公司债券（含公募、小公募、私募、票据，下同）成功发行金额合计：</w:t>
            </w:r>
          </w:p>
          <w:p w14:paraId="337E53C0">
            <w:pPr>
              <w:pStyle w:val="14"/>
              <w:numPr>
                <w:ilvl w:val="0"/>
                <w:numId w:val="0"/>
              </w:numPr>
              <w:spacing w:before="0" w:beforeAutospacing="0" w:after="0" w:afterAutospacing="0" w:line="240" w:lineRule="auto"/>
              <w:ind w:right="0" w:rightChars="0"/>
              <w:rPr>
                <w:rFonts w:hint="eastAsia" w:ascii="仿宋" w:hAnsi="仿宋" w:eastAsia="仿宋"/>
                <w:lang w:val="en-US" w:eastAsia="zh-CN"/>
              </w:rPr>
            </w:pPr>
            <w:r>
              <w:rPr>
                <w:rFonts w:hint="eastAsia" w:ascii="仿宋" w:hAnsi="仿宋" w:eastAsia="仿宋"/>
                <w:lang w:val="en-US" w:eastAsia="zh-CN"/>
              </w:rPr>
              <w:t>1）70亿元及以上的，得14分；</w:t>
            </w:r>
          </w:p>
          <w:p w14:paraId="686D4148">
            <w:pPr>
              <w:pStyle w:val="14"/>
              <w:numPr>
                <w:ilvl w:val="0"/>
                <w:numId w:val="0"/>
              </w:numPr>
              <w:spacing w:before="0" w:beforeAutospacing="0" w:after="0" w:afterAutospacing="0" w:line="240" w:lineRule="auto"/>
              <w:ind w:right="0" w:rightChars="0"/>
              <w:rPr>
                <w:rFonts w:hint="eastAsia" w:ascii="仿宋" w:hAnsi="仿宋" w:eastAsia="仿宋"/>
                <w:lang w:val="en-US" w:eastAsia="zh-CN"/>
              </w:rPr>
            </w:pPr>
            <w:r>
              <w:rPr>
                <w:rFonts w:hint="eastAsia" w:ascii="仿宋" w:hAnsi="仿宋" w:eastAsia="仿宋"/>
                <w:lang w:val="en-US" w:eastAsia="zh-CN"/>
              </w:rPr>
              <w:t>2）50亿元（含）至70亿元（不含）的，得12分；</w:t>
            </w:r>
          </w:p>
          <w:p w14:paraId="79EBD9DC">
            <w:pPr>
              <w:pStyle w:val="14"/>
              <w:numPr>
                <w:ilvl w:val="0"/>
                <w:numId w:val="0"/>
              </w:numPr>
              <w:spacing w:before="0" w:beforeAutospacing="0" w:after="0" w:afterAutospacing="0" w:line="240" w:lineRule="auto"/>
              <w:ind w:right="0" w:rightChars="0"/>
              <w:rPr>
                <w:rFonts w:hint="eastAsia" w:ascii="仿宋" w:hAnsi="仿宋" w:eastAsia="仿宋"/>
                <w:lang w:val="en-US" w:eastAsia="zh-CN"/>
              </w:rPr>
            </w:pPr>
            <w:r>
              <w:rPr>
                <w:rFonts w:hint="eastAsia" w:ascii="仿宋" w:hAnsi="仿宋" w:eastAsia="仿宋"/>
                <w:lang w:val="en-US" w:eastAsia="zh-CN"/>
              </w:rPr>
              <w:t>3）30亿元（含）至50亿元（不含）的，得10分；</w:t>
            </w:r>
          </w:p>
          <w:p w14:paraId="6F82998D">
            <w:pPr>
              <w:pStyle w:val="14"/>
              <w:numPr>
                <w:ilvl w:val="0"/>
                <w:numId w:val="0"/>
              </w:numPr>
              <w:spacing w:before="0" w:beforeAutospacing="0" w:after="0" w:afterAutospacing="0" w:line="240" w:lineRule="auto"/>
              <w:ind w:right="0" w:rightChars="0"/>
              <w:rPr>
                <w:rFonts w:hint="eastAsia" w:ascii="仿宋" w:hAnsi="仿宋" w:eastAsia="仿宋"/>
                <w:lang w:val="en-US" w:eastAsia="zh-CN"/>
              </w:rPr>
            </w:pPr>
            <w:r>
              <w:rPr>
                <w:rFonts w:hint="eastAsia" w:ascii="仿宋" w:hAnsi="仿宋" w:eastAsia="仿宋"/>
                <w:lang w:val="en-US" w:eastAsia="zh-CN"/>
              </w:rPr>
              <w:t>4）10亿元（含）至30亿元（不含）的，得8分；</w:t>
            </w:r>
          </w:p>
          <w:p w14:paraId="4AEB0866">
            <w:pPr>
              <w:pStyle w:val="14"/>
              <w:numPr>
                <w:ilvl w:val="0"/>
                <w:numId w:val="0"/>
              </w:numPr>
              <w:spacing w:before="0" w:beforeAutospacing="0" w:after="0" w:afterAutospacing="0" w:line="240" w:lineRule="auto"/>
              <w:ind w:right="0" w:rightChars="0"/>
              <w:rPr>
                <w:rFonts w:hint="eastAsia" w:ascii="仿宋" w:hAnsi="仿宋" w:eastAsia="仿宋"/>
                <w:lang w:val="en-US" w:eastAsia="zh-CN"/>
              </w:rPr>
            </w:pPr>
            <w:r>
              <w:rPr>
                <w:rFonts w:hint="eastAsia" w:ascii="仿宋" w:hAnsi="仿宋" w:eastAsia="仿宋"/>
                <w:lang w:val="en-US" w:eastAsia="zh-CN"/>
              </w:rPr>
              <w:t>5）10亿元（不含）以下的，得0分。</w:t>
            </w:r>
          </w:p>
          <w:p w14:paraId="34E774FF">
            <w:pPr>
              <w:pStyle w:val="14"/>
              <w:numPr>
                <w:ilvl w:val="0"/>
                <w:numId w:val="0"/>
              </w:numPr>
              <w:spacing w:before="0" w:beforeAutospacing="0" w:after="0" w:afterAutospacing="0" w:line="240" w:lineRule="auto"/>
              <w:ind w:right="0" w:rightChars="0"/>
              <w:rPr>
                <w:rFonts w:hint="eastAsia" w:ascii="仿宋" w:hAnsi="仿宋" w:eastAsia="仿宋"/>
                <w:lang w:val="en-US" w:eastAsia="zh-CN"/>
              </w:rPr>
            </w:pPr>
            <w:r>
              <w:rPr>
                <w:rFonts w:hint="eastAsia" w:ascii="仿宋" w:hAnsi="仿宋" w:eastAsia="仿宋"/>
                <w:lang w:val="en-US" w:eastAsia="zh-CN"/>
              </w:rPr>
              <w:t>（多个项目负责人、主办律师为同一发债事项提供服务的，不能重复计取）</w:t>
            </w:r>
          </w:p>
          <w:p w14:paraId="15D33C5D">
            <w:pPr>
              <w:pStyle w:val="14"/>
              <w:numPr>
                <w:ilvl w:val="0"/>
                <w:numId w:val="0"/>
              </w:numPr>
              <w:spacing w:before="0" w:beforeAutospacing="0" w:after="0" w:afterAutospacing="0" w:line="240" w:lineRule="auto"/>
              <w:ind w:left="0" w:leftChars="0" w:right="0" w:rightChars="0" w:firstLine="0" w:firstLineChars="0"/>
              <w:rPr>
                <w:rFonts w:hint="eastAsia" w:ascii="仿宋" w:hAnsi="仿宋" w:eastAsia="仿宋"/>
                <w:lang w:val="en-US" w:eastAsia="zh-CN"/>
              </w:rPr>
            </w:pPr>
            <w:r>
              <w:rPr>
                <w:rFonts w:hint="eastAsia" w:ascii="仿宋" w:hAnsi="仿宋" w:eastAsia="仿宋" w:cstheme="minorBidi"/>
                <w:kern w:val="0"/>
                <w:sz w:val="24"/>
                <w:szCs w:val="24"/>
                <w:lang w:val="en-US" w:eastAsia="zh-CN" w:bidi="ar"/>
              </w:rPr>
              <w:t>3.</w:t>
            </w:r>
            <w:r>
              <w:rPr>
                <w:rFonts w:hint="eastAsia" w:ascii="仿宋" w:hAnsi="仿宋" w:eastAsia="仿宋"/>
                <w:lang w:val="en-US" w:eastAsia="zh-CN"/>
              </w:rPr>
              <w:t>近五年，为发行公司债券提供法律服务，每获得一个批文得3分，最高不超过12分，（多个项目负责人、主办律师为同一发债事项提供服务的，不能重复计取）</w:t>
            </w:r>
          </w:p>
          <w:p w14:paraId="76523523">
            <w:pPr>
              <w:pStyle w:val="14"/>
              <w:numPr>
                <w:ilvl w:val="0"/>
                <w:numId w:val="0"/>
              </w:numPr>
              <w:spacing w:before="0" w:beforeAutospacing="0" w:after="0" w:afterAutospacing="0" w:line="240" w:lineRule="auto"/>
              <w:ind w:leftChars="0" w:right="0" w:rightChars="0"/>
              <w:rPr>
                <w:rFonts w:hint="eastAsia" w:ascii="仿宋" w:hAnsi="仿宋" w:eastAsia="仿宋"/>
                <w:lang w:val="en-US" w:eastAsia="zh-CN"/>
              </w:rPr>
            </w:pPr>
            <w:r>
              <w:rPr>
                <w:rFonts w:hint="eastAsia" w:ascii="仿宋" w:hAnsi="仿宋" w:eastAsia="仿宋"/>
                <w:lang w:val="en-US" w:eastAsia="zh-CN"/>
              </w:rPr>
              <w:t>证明材料：证明监管部门审核通过及该律师为发行债券承担相关法律服务的文件，包括但不限于批复文件、交易所反馈截图、法律意见书签署页、合同关键页或其他可证明材料复印件并加盖公章。</w:t>
            </w:r>
          </w:p>
          <w:p w14:paraId="5D17DFAD">
            <w:pPr>
              <w:pStyle w:val="14"/>
              <w:numPr>
                <w:ilvl w:val="0"/>
                <w:numId w:val="0"/>
              </w:numPr>
              <w:spacing w:before="0" w:beforeAutospacing="0" w:after="0" w:afterAutospacing="0" w:line="240" w:lineRule="auto"/>
              <w:ind w:leftChars="0" w:right="0" w:rightChars="0"/>
              <w:rPr>
                <w:rFonts w:hint="default" w:ascii="仿宋" w:hAnsi="仿宋" w:eastAsia="仿宋"/>
                <w:lang w:val="en-US" w:eastAsia="zh-CN"/>
              </w:rPr>
            </w:pPr>
            <w:r>
              <w:rPr>
                <w:rFonts w:hint="eastAsia" w:ascii="仿宋" w:hAnsi="仿宋" w:eastAsia="仿宋"/>
                <w:lang w:val="en-US" w:eastAsia="zh-CN"/>
              </w:rPr>
              <w:t>（二）团队成员资质与业绩：</w:t>
            </w:r>
          </w:p>
          <w:p w14:paraId="6A737AFF">
            <w:pPr>
              <w:pStyle w:val="14"/>
              <w:numPr>
                <w:ilvl w:val="0"/>
                <w:numId w:val="0"/>
              </w:numPr>
              <w:spacing w:before="0" w:beforeAutospacing="0" w:after="0" w:afterAutospacing="0" w:line="240" w:lineRule="auto"/>
              <w:ind w:left="0" w:leftChars="0" w:right="0" w:rightChars="0"/>
              <w:rPr>
                <w:rFonts w:hint="default" w:ascii="仿宋" w:hAnsi="仿宋" w:eastAsia="仿宋"/>
                <w:lang w:val="en-US" w:eastAsia="zh-CN"/>
              </w:rPr>
            </w:pPr>
            <w:r>
              <w:rPr>
                <w:rFonts w:hint="eastAsia" w:ascii="仿宋" w:hAnsi="仿宋" w:eastAsia="仿宋" w:cstheme="minorBidi"/>
                <w:kern w:val="0"/>
                <w:sz w:val="24"/>
                <w:szCs w:val="24"/>
                <w:lang w:val="en-US" w:eastAsia="zh-CN" w:bidi="ar"/>
              </w:rPr>
              <w:t>1.</w:t>
            </w:r>
            <w:r>
              <w:rPr>
                <w:rFonts w:hint="eastAsia" w:ascii="仿宋" w:hAnsi="仿宋" w:eastAsia="仿宋"/>
                <w:lang w:val="en-US" w:eastAsia="zh-CN"/>
              </w:rPr>
              <w:t>具备律师职业资格证，团队全部人员律师执业资格年限为2年及以上，得3分，否则0分。</w:t>
            </w:r>
          </w:p>
          <w:p w14:paraId="3C96FCE3">
            <w:pPr>
              <w:pStyle w:val="14"/>
              <w:numPr>
                <w:ilvl w:val="0"/>
                <w:numId w:val="0"/>
              </w:numPr>
              <w:spacing w:before="0" w:beforeAutospacing="0" w:after="0" w:afterAutospacing="0" w:line="240" w:lineRule="auto"/>
              <w:ind w:left="0" w:leftChars="0" w:right="0" w:rightChars="0" w:firstLine="0" w:firstLineChars="0"/>
              <w:rPr>
                <w:rFonts w:hint="eastAsia" w:ascii="仿宋" w:hAnsi="仿宋" w:eastAsia="仿宋"/>
                <w:lang w:val="en-US" w:eastAsia="zh-CN"/>
              </w:rPr>
            </w:pPr>
            <w:r>
              <w:rPr>
                <w:rFonts w:hint="eastAsia" w:ascii="仿宋" w:hAnsi="仿宋" w:eastAsia="仿宋" w:cstheme="minorBidi"/>
                <w:kern w:val="0"/>
                <w:sz w:val="24"/>
                <w:szCs w:val="24"/>
                <w:lang w:val="en-US" w:eastAsia="zh-CN" w:bidi="ar"/>
              </w:rPr>
              <w:t>2.</w:t>
            </w:r>
            <w:r>
              <w:rPr>
                <w:rFonts w:hint="eastAsia" w:ascii="仿宋" w:hAnsi="仿宋" w:eastAsia="仿宋"/>
                <w:lang w:val="en-US" w:eastAsia="zh-CN"/>
              </w:rPr>
              <w:t>近五年，提供法律服务得公司债券成功发行金额合计：</w:t>
            </w:r>
          </w:p>
          <w:p w14:paraId="0E2A1679">
            <w:pPr>
              <w:pStyle w:val="14"/>
              <w:numPr>
                <w:ilvl w:val="0"/>
                <w:numId w:val="0"/>
              </w:numPr>
              <w:spacing w:before="0" w:beforeAutospacing="0" w:after="0" w:afterAutospacing="0" w:line="240" w:lineRule="auto"/>
              <w:ind w:leftChars="0" w:right="0" w:rightChars="0"/>
              <w:rPr>
                <w:rFonts w:hint="eastAsia" w:ascii="仿宋" w:hAnsi="仿宋" w:eastAsia="仿宋"/>
                <w:lang w:val="en-US" w:eastAsia="zh-CN"/>
              </w:rPr>
            </w:pPr>
            <w:r>
              <w:rPr>
                <w:rFonts w:hint="eastAsia" w:ascii="仿宋" w:hAnsi="仿宋" w:eastAsia="仿宋"/>
                <w:lang w:val="en-US" w:eastAsia="zh-CN"/>
              </w:rPr>
              <w:t>1）30亿元及以上的，得7分；</w:t>
            </w:r>
          </w:p>
          <w:p w14:paraId="01A2A20F">
            <w:pPr>
              <w:pStyle w:val="14"/>
              <w:numPr>
                <w:ilvl w:val="0"/>
                <w:numId w:val="0"/>
              </w:numPr>
              <w:spacing w:before="0" w:beforeAutospacing="0" w:after="0" w:afterAutospacing="0" w:line="240" w:lineRule="auto"/>
              <w:ind w:leftChars="0" w:right="0" w:rightChars="0"/>
              <w:rPr>
                <w:rFonts w:hint="eastAsia" w:ascii="仿宋" w:hAnsi="仿宋" w:eastAsia="仿宋"/>
                <w:lang w:val="en-US" w:eastAsia="zh-CN"/>
              </w:rPr>
            </w:pPr>
            <w:r>
              <w:rPr>
                <w:rFonts w:hint="eastAsia" w:ascii="仿宋" w:hAnsi="仿宋" w:eastAsia="仿宋"/>
                <w:lang w:val="en-US" w:eastAsia="zh-CN"/>
              </w:rPr>
              <w:t>2）15亿元（含）至30亿元（不含）的，得5分；</w:t>
            </w:r>
          </w:p>
          <w:p w14:paraId="7305225C">
            <w:pPr>
              <w:pStyle w:val="14"/>
              <w:numPr>
                <w:ilvl w:val="0"/>
                <w:numId w:val="0"/>
              </w:numPr>
              <w:spacing w:before="0" w:beforeAutospacing="0" w:after="0" w:afterAutospacing="0" w:line="240" w:lineRule="auto"/>
              <w:ind w:leftChars="0" w:right="0" w:rightChars="0"/>
              <w:rPr>
                <w:rFonts w:hint="eastAsia" w:ascii="仿宋" w:hAnsi="仿宋" w:eastAsia="仿宋"/>
                <w:lang w:val="en-US" w:eastAsia="zh-CN"/>
              </w:rPr>
            </w:pPr>
            <w:r>
              <w:rPr>
                <w:rFonts w:hint="eastAsia" w:ascii="仿宋" w:hAnsi="仿宋" w:eastAsia="仿宋"/>
                <w:lang w:val="en-US" w:eastAsia="zh-CN"/>
              </w:rPr>
              <w:t>3）5亿元（含）至15亿元（不含）的，得3分；</w:t>
            </w:r>
          </w:p>
          <w:p w14:paraId="1FC1C2BC">
            <w:pPr>
              <w:pStyle w:val="14"/>
              <w:numPr>
                <w:ilvl w:val="0"/>
                <w:numId w:val="0"/>
              </w:numPr>
              <w:spacing w:before="0" w:beforeAutospacing="0" w:after="0" w:afterAutospacing="0" w:line="240" w:lineRule="auto"/>
              <w:ind w:leftChars="0" w:right="0" w:rightChars="0"/>
              <w:rPr>
                <w:rFonts w:hint="default" w:ascii="仿宋" w:hAnsi="仿宋" w:eastAsia="仿宋"/>
                <w:lang w:val="en-US" w:eastAsia="zh-CN"/>
              </w:rPr>
            </w:pPr>
            <w:r>
              <w:rPr>
                <w:rFonts w:hint="eastAsia" w:ascii="仿宋" w:hAnsi="仿宋" w:eastAsia="仿宋"/>
                <w:lang w:val="en-US" w:eastAsia="zh-CN"/>
              </w:rPr>
              <w:t>4）5亿元（不含）以下的，得1分。</w:t>
            </w:r>
          </w:p>
          <w:p w14:paraId="66E71919">
            <w:pPr>
              <w:pStyle w:val="14"/>
              <w:numPr>
                <w:ilvl w:val="0"/>
                <w:numId w:val="8"/>
              </w:numPr>
              <w:tabs>
                <w:tab w:val="clear" w:pos="312"/>
              </w:tabs>
              <w:spacing w:before="0" w:beforeAutospacing="0" w:after="0" w:afterAutospacing="0" w:line="240" w:lineRule="auto"/>
              <w:ind w:left="0" w:leftChars="0" w:right="0" w:rightChars="0" w:firstLine="0" w:firstLineChars="0"/>
              <w:rPr>
                <w:rFonts w:hint="eastAsia" w:ascii="仿宋" w:hAnsi="仿宋" w:eastAsia="仿宋" w:cstheme="minorBidi"/>
                <w:kern w:val="0"/>
                <w:sz w:val="24"/>
                <w:szCs w:val="24"/>
                <w:lang w:val="en-US" w:eastAsia="zh-CN" w:bidi="ar"/>
              </w:rPr>
            </w:pPr>
            <w:r>
              <w:rPr>
                <w:rFonts w:hint="eastAsia" w:ascii="仿宋" w:hAnsi="仿宋" w:eastAsia="仿宋" w:cstheme="minorBidi"/>
                <w:kern w:val="0"/>
                <w:sz w:val="24"/>
                <w:szCs w:val="24"/>
                <w:lang w:val="en-US" w:eastAsia="zh-CN" w:bidi="ar"/>
              </w:rPr>
              <w:t>近5年，为发行公司债券提供法律服务，每获得一个批文得3分，最高不超过9分。（不同团队成员为同一发债事项提供服务，不能重复计取）</w:t>
            </w:r>
          </w:p>
          <w:p w14:paraId="55CD62F7">
            <w:pPr>
              <w:pStyle w:val="14"/>
              <w:numPr>
                <w:ilvl w:val="0"/>
                <w:numId w:val="0"/>
              </w:numPr>
              <w:spacing w:before="0" w:beforeAutospacing="0" w:after="0" w:afterAutospacing="0" w:line="240" w:lineRule="auto"/>
              <w:ind w:leftChars="0" w:right="0" w:rightChars="0"/>
              <w:rPr>
                <w:rFonts w:ascii="仿宋" w:hAnsi="仿宋" w:eastAsia="仿宋"/>
              </w:rPr>
            </w:pPr>
            <w:r>
              <w:rPr>
                <w:rFonts w:hint="eastAsia" w:ascii="仿宋" w:hAnsi="仿宋" w:eastAsia="仿宋"/>
                <w:lang w:val="en-US" w:eastAsia="zh-CN"/>
              </w:rPr>
              <w:t>证明材料：证明监管部门审核通过及该律师为发行债券承担相关法律服务得文件，包括但不限于批复文件、交易所反馈截图、法律意见书签署页、合同关键页或其他可证明材料复印并加盖公章。</w:t>
            </w:r>
          </w:p>
        </w:tc>
      </w:tr>
      <w:bookmarkEnd w:id="33"/>
      <w:bookmarkEnd w:id="34"/>
      <w:bookmarkEnd w:id="35"/>
      <w:bookmarkEnd w:id="36"/>
      <w:bookmarkEnd w:id="37"/>
      <w:bookmarkEnd w:id="38"/>
      <w:bookmarkEnd w:id="39"/>
      <w:bookmarkEnd w:id="40"/>
    </w:tbl>
    <w:p w14:paraId="7EF476CB">
      <w:pPr>
        <w:spacing w:line="578" w:lineRule="exact"/>
        <w:ind w:firstLine="640" w:firstLineChars="200"/>
        <w:rPr>
          <w:rFonts w:hint="default" w:ascii="仿宋" w:hAnsi="仿宋" w:eastAsia="仿宋" w:cs="仿宋_GB2312"/>
          <w:color w:val="auto"/>
          <w:sz w:val="32"/>
          <w:szCs w:val="32"/>
          <w:highlight w:val="none"/>
          <w:lang w:val="en-US" w:eastAsia="zh-CN"/>
        </w:rPr>
      </w:pPr>
      <w:bookmarkStart w:id="42" w:name="_Toc79839825"/>
      <w:bookmarkStart w:id="43" w:name="_Toc84698407"/>
      <w:bookmarkStart w:id="44" w:name="_Toc85622919"/>
      <w:r>
        <w:rPr>
          <w:rFonts w:hint="eastAsia" w:ascii="仿宋" w:hAnsi="仿宋" w:eastAsia="仿宋" w:cs="仿宋_GB2312"/>
          <w:color w:val="auto"/>
          <w:sz w:val="32"/>
          <w:szCs w:val="32"/>
          <w:highlight w:val="none"/>
          <w:lang w:val="en-US" w:eastAsia="zh-CN"/>
        </w:rPr>
        <w:t>（2）评审小组评分</w:t>
      </w:r>
    </w:p>
    <w:p w14:paraId="15324D3A">
      <w:pPr>
        <w:spacing w:line="578" w:lineRule="exact"/>
        <w:ind w:firstLine="64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评审小组成员独立按本章第二条第（二）款的《评分标准表》规定的评价指标分别对响应人进行评分，然后去掉一个最高分和一个最低分，响应人得分以剩下评审小组成员评分的算术平均值得出，保留小数点后两位。</w:t>
      </w:r>
    </w:p>
    <w:p w14:paraId="71AD2018">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2.响应文件的澄清和补正</w:t>
      </w:r>
    </w:p>
    <w:p w14:paraId="489D9AB2">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（1）在评审过程中，评审小组可以书面形式要求响应人对所提交响应文件中不明确的内容进行书面澄清或说明，或者对细微偏差进行补正。评审小组不接受响应人主动提出的澄清、说明或补正。</w:t>
      </w:r>
    </w:p>
    <w:p w14:paraId="30949B6A">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（2）澄清、说明和补正不得改变响应文件的实质性内容。响应人的书面澄清、说明和补正属于响应文件的组成部分。</w:t>
      </w:r>
    </w:p>
    <w:p w14:paraId="39CBFEF2">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（3）评审小组对响应人提交的澄清、说明或补正有疑问的，可以要求响应人进一步澄清、说明或补正，直至满足评审小组的要求。</w:t>
      </w:r>
    </w:p>
    <w:p w14:paraId="19509B79">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3.评选时间与通知</w:t>
      </w:r>
    </w:p>
    <w:p w14:paraId="15CF2C1D">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本项目预计于响应文件递交截止日后7个工作日内进行评选，并预计于评选结束后7个工作日内发送中选通知，未中选机构则不发送通知。</w:t>
      </w:r>
    </w:p>
    <w:p w14:paraId="2C209645">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4.评选过程的保密</w:t>
      </w:r>
    </w:p>
    <w:p w14:paraId="4658EFCE">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（1）响应文件开启后，直至成交为止，凡属于对响应文件的审查、澄清、评价和比较有关的资料以及响应人的排名情况等与评选有关的任何情况均严格保密。</w:t>
      </w:r>
    </w:p>
    <w:p w14:paraId="27573A10">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（2）在响应文件的评审和比较、响应人的排名情况以及签署合同的过程中，响应人向比选人和评审小组施加不公正影响的任何行为，都将会导致其响应被拒绝。</w:t>
      </w:r>
    </w:p>
    <w:p w14:paraId="28D1813B">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5.评审结果</w:t>
      </w:r>
    </w:p>
    <w:p w14:paraId="188B573C">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（1）评审小组原则上按照响应人得分由高到低的顺序推荐中选候选人。</w:t>
      </w:r>
    </w:p>
    <w:p w14:paraId="4011F6F8">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得分最高的为第一中选候选人；平均分相同的，报价低者优先；平均分及报价均相同的，由评审小组投票决定第一中选候选人，原则上第一中选候选人为中选供应商；如果中选供应商放弃中选资格、无法履约合同或者被查实存在影响中选结果的违法行为等情形，不符合中选条件的，自动向下一名顺延。</w:t>
      </w:r>
    </w:p>
    <w:p w14:paraId="6648045A">
      <w:pPr>
        <w:numPr>
          <w:ilvl w:val="0"/>
          <w:numId w:val="9"/>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确定中选供应商后，向成交供应商发送《中选通知书》，然后签订采购合同。</w:t>
      </w:r>
    </w:p>
    <w:p w14:paraId="51151891">
      <w:pPr>
        <w:numPr>
          <w:ilvl w:val="0"/>
          <w:numId w:val="0"/>
        </w:numPr>
        <w:spacing w:line="578" w:lineRule="exact"/>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 xml:space="preserve">    （三）响应无效情形</w:t>
      </w:r>
    </w:p>
    <w:p w14:paraId="1B6ED1E7">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响应人或其响应文件出现下列情形之一者，将导致申请无效：</w:t>
      </w:r>
    </w:p>
    <w:p w14:paraId="776DF9D4">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1.响应人弄虚作假，故意伪造、隐瞒、遗漏重大信息，或未实质性回应比选文件内容、故意混淆重要事实的；</w:t>
      </w:r>
    </w:p>
    <w:p w14:paraId="28DC34E9">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2.包装响应文件的密封袋外表面的密封与标记不符合要求的；</w:t>
      </w:r>
    </w:p>
    <w:p w14:paraId="30AB01CD">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3.未通过资格审查的；</w:t>
      </w:r>
    </w:p>
    <w:p w14:paraId="3DA392AE">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4.响应文件与比选文件实质性要求有严重背离的；</w:t>
      </w:r>
    </w:p>
    <w:p w14:paraId="4C7F9A56">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5.响应文件含有违反国家法律、法规的内容或附有我司不能接受的条件的；</w:t>
      </w:r>
    </w:p>
    <w:p w14:paraId="7EC59529">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6.出现任何影响评审公正的违法、违规行为的；</w:t>
      </w:r>
    </w:p>
    <w:p w14:paraId="70BE1D33">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7.因政策变动、自然灾害等不可抗力因素的影响，需要变更响应文件实质性内容的。</w:t>
      </w:r>
    </w:p>
    <w:p w14:paraId="09C6B3FB">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8.本文件规定的其他情形。</w:t>
      </w:r>
    </w:p>
    <w:p w14:paraId="40EF6B43">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（四）其他说明</w:t>
      </w:r>
    </w:p>
    <w:p w14:paraId="285B977C">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比选人保留拒绝任何一份响应或所有响应的权利。</w:t>
      </w:r>
    </w:p>
    <w:p w14:paraId="401100AE">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（五）澄清与答疑</w:t>
      </w:r>
    </w:p>
    <w:p w14:paraId="5988ADFF">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响应人如有任何疑问需咨询、解答，可在工作日8:30-12:00及14:30-18:00期间联系。</w:t>
      </w:r>
    </w:p>
    <w:p w14:paraId="00CF7FFC">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1602CFBF">
      <w:pPr>
        <w:spacing w:line="578" w:lineRule="exact"/>
        <w:outlineLvl w:val="0"/>
        <w:rPr>
          <w:rFonts w:ascii="黑体" w:hAnsi="黑体" w:eastAsia="黑体" w:cs="黑体"/>
          <w:color w:val="auto"/>
          <w:sz w:val="32"/>
          <w:szCs w:val="32"/>
          <w:highlight w:val="none"/>
        </w:rPr>
      </w:pPr>
      <w:bookmarkStart w:id="45" w:name="_Toc18795"/>
      <w:r>
        <w:rPr>
          <w:rFonts w:hint="eastAsia" w:ascii="黑体" w:hAnsi="黑体" w:eastAsia="黑体" w:cs="黑体"/>
          <w:color w:val="auto"/>
          <w:sz w:val="32"/>
          <w:szCs w:val="32"/>
          <w:highlight w:val="none"/>
        </w:rPr>
        <w:t>附件1</w:t>
      </w:r>
      <w:bookmarkEnd w:id="45"/>
    </w:p>
    <w:p w14:paraId="2B2743D7">
      <w:pPr>
        <w:spacing w:line="578" w:lineRule="exact"/>
        <w:rPr>
          <w:color w:val="auto"/>
          <w:highlight w:val="none"/>
        </w:rPr>
      </w:pPr>
    </w:p>
    <w:bookmarkEnd w:id="42"/>
    <w:bookmarkEnd w:id="43"/>
    <w:bookmarkEnd w:id="44"/>
    <w:p w14:paraId="09E21CDB">
      <w:pPr>
        <w:spacing w:line="578" w:lineRule="exact"/>
        <w:jc w:val="center"/>
        <w:rPr>
          <w:rFonts w:ascii="方正小标宋简体" w:hAnsi="方正小标宋简体" w:eastAsia="方正小标宋简体" w:cs="方正小标宋简体"/>
          <w:color w:val="auto"/>
          <w:sz w:val="44"/>
          <w:szCs w:val="44"/>
          <w:highlight w:val="none"/>
        </w:rPr>
      </w:pPr>
      <w:r>
        <w:rPr>
          <w:rFonts w:hint="eastAsia" w:ascii="宋体" w:hAnsi="宋体" w:eastAsia="宋体" w:cs="宋体"/>
          <w:b/>
          <w:bCs/>
          <w:color w:val="auto"/>
          <w:sz w:val="44"/>
          <w:szCs w:val="44"/>
          <w:highlight w:val="none"/>
          <w:lang w:val="en-US" w:eastAsia="zh-CN"/>
        </w:rPr>
        <w:t>响应</w:t>
      </w:r>
      <w:r>
        <w:rPr>
          <w:rFonts w:hint="eastAsia" w:ascii="宋体" w:hAnsi="宋体" w:eastAsia="宋体" w:cs="宋体"/>
          <w:b/>
          <w:bCs/>
          <w:color w:val="auto"/>
          <w:sz w:val="44"/>
          <w:szCs w:val="44"/>
          <w:highlight w:val="none"/>
        </w:rPr>
        <w:t>文件声明函</w:t>
      </w:r>
    </w:p>
    <w:p w14:paraId="48B94274">
      <w:pPr>
        <w:spacing w:line="578" w:lineRule="exact"/>
        <w:rPr>
          <w:color w:val="auto"/>
          <w:highlight w:val="none"/>
        </w:rPr>
      </w:pPr>
    </w:p>
    <w:p w14:paraId="0890F59D">
      <w:pPr>
        <w:adjustRightInd w:val="0"/>
        <w:snapToGrid w:val="0"/>
        <w:spacing w:line="578" w:lineRule="exact"/>
        <w:rPr>
          <w:rFonts w:hint="default" w:ascii="仿宋_GB2312" w:hAnsi="仿宋_GB2312" w:eastAsia="仿宋_GB2312" w:cs="仿宋_GB2312"/>
          <w:b/>
          <w:bCs/>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b/>
          <w:bCs/>
          <w:color w:val="auto"/>
          <w:sz w:val="32"/>
          <w:szCs w:val="32"/>
          <w:highlight w:val="none"/>
          <w:u w:val="single"/>
        </w:rPr>
        <w:t>海</w:t>
      </w:r>
      <w:r>
        <w:rPr>
          <w:rFonts w:hint="eastAsia" w:ascii="仿宋_GB2312" w:hAnsi="仿宋_GB2312" w:eastAsia="仿宋_GB2312" w:cs="仿宋_GB2312"/>
          <w:b/>
          <w:bCs/>
          <w:color w:val="auto"/>
          <w:sz w:val="32"/>
          <w:szCs w:val="32"/>
          <w:highlight w:val="none"/>
          <w:u w:val="single"/>
          <w:lang w:val="en-US" w:eastAsia="zh-CN"/>
        </w:rPr>
        <w:t>口市金融控股集团有限公司</w:t>
      </w:r>
    </w:p>
    <w:p w14:paraId="7BD42D5E">
      <w:p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根据贵方</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u w:val="single"/>
          <w:lang w:val="en-US" w:eastAsia="zh-CN"/>
        </w:rPr>
        <w:t>2025年5月</w:t>
      </w:r>
      <w:r>
        <w:rPr>
          <w:rFonts w:hint="eastAsia" w:ascii="仿宋" w:hAnsi="仿宋" w:eastAsia="仿宋" w:cs="仿宋_GB2312"/>
          <w:color w:val="auto"/>
          <w:sz w:val="32"/>
          <w:szCs w:val="32"/>
          <w:highlight w:val="none"/>
          <w:u w:val="single"/>
        </w:rPr>
        <w:t>《</w:t>
      </w:r>
      <w:r>
        <w:rPr>
          <w:rFonts w:hint="eastAsia" w:ascii="仿宋" w:hAnsi="仿宋" w:eastAsia="仿宋" w:cs="仿宋_GB2312"/>
          <w:color w:val="auto"/>
          <w:sz w:val="32"/>
          <w:szCs w:val="32"/>
          <w:highlight w:val="none"/>
          <w:u w:val="single"/>
          <w:lang w:val="en-US" w:eastAsia="zh-CN"/>
        </w:rPr>
        <w:t>海口市金融控股</w:t>
      </w:r>
      <w:r>
        <w:rPr>
          <w:rFonts w:hint="eastAsia" w:ascii="仿宋" w:hAnsi="仿宋" w:eastAsia="仿宋" w:cs="仿宋_GB2312"/>
          <w:color w:val="auto"/>
          <w:sz w:val="32"/>
          <w:szCs w:val="32"/>
          <w:highlight w:val="none"/>
          <w:u w:val="single"/>
        </w:rPr>
        <w:t>集团有限公司</w:t>
      </w:r>
      <w:r>
        <w:rPr>
          <w:rFonts w:hint="eastAsia" w:ascii="仿宋" w:hAnsi="仿宋" w:eastAsia="仿宋" w:cs="仿宋_GB2312"/>
          <w:color w:val="auto"/>
          <w:sz w:val="32"/>
          <w:szCs w:val="32"/>
          <w:highlight w:val="none"/>
          <w:u w:val="single"/>
          <w:lang w:val="en-US" w:eastAsia="zh-CN"/>
        </w:rPr>
        <w:t>法律</w:t>
      </w:r>
      <w:r>
        <w:rPr>
          <w:rFonts w:hint="eastAsia" w:ascii="仿宋" w:hAnsi="仿宋" w:eastAsia="仿宋" w:cs="仿宋_GB2312"/>
          <w:color w:val="auto"/>
          <w:sz w:val="32"/>
          <w:szCs w:val="32"/>
          <w:highlight w:val="none"/>
          <w:u w:val="single"/>
        </w:rPr>
        <w:t>服务采购项目比选文件》</w:t>
      </w:r>
      <w:r>
        <w:rPr>
          <w:rFonts w:hint="eastAsia" w:ascii="仿宋" w:hAnsi="仿宋" w:eastAsia="仿宋" w:cs="仿宋_GB2312"/>
          <w:color w:val="auto"/>
          <w:sz w:val="32"/>
          <w:szCs w:val="32"/>
          <w:highlight w:val="none"/>
        </w:rPr>
        <w:t>的要求，我司参加该项目比选，提交</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文件正本【】份，副本【】份。我司在此声明并同意：</w:t>
      </w:r>
    </w:p>
    <w:p w14:paraId="560CF870">
      <w:pPr>
        <w:numPr>
          <w:ilvl w:val="0"/>
          <w:numId w:val="0"/>
        </w:num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一、</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已经详细地阅读了全部</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文件及附件，包括答疑、澄清、补充通知及参考文件（如有），我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完全清晰理解</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文件的要求，不存在任何含糊不清和误解之处，同意放弃对这些文件提出异议和质疑的权利。</w:t>
      </w:r>
    </w:p>
    <w:p w14:paraId="076C7F24">
      <w:pPr>
        <w:numPr>
          <w:ilvl w:val="0"/>
          <w:numId w:val="0"/>
        </w:num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二、</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承诺在本次比选中提供的一切资料和文件，无论是原件或是复印件均为真实、准确无误和有效的，绝无任何虚构、伪造和夸大的成份；否则我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愿意承担相应的后果和法律责任。</w:t>
      </w:r>
    </w:p>
    <w:p w14:paraId="07BED10C">
      <w:pPr>
        <w:numPr>
          <w:ilvl w:val="0"/>
          <w:numId w:val="0"/>
        </w:numPr>
        <w:adjustRightInd w:val="0"/>
        <w:snapToGrid w:val="0"/>
        <w:spacing w:line="578"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我</w:t>
      </w:r>
      <w:r>
        <w:rPr>
          <w:rFonts w:hint="eastAsia" w:ascii="仿宋" w:hAnsi="仿宋" w:eastAsia="仿宋" w:cs="仿宋"/>
          <w:color w:val="auto"/>
          <w:sz w:val="32"/>
          <w:szCs w:val="32"/>
          <w:highlight w:val="none"/>
          <w:lang w:val="en-US" w:eastAsia="zh-CN"/>
        </w:rPr>
        <w:t>司</w:t>
      </w:r>
      <w:r>
        <w:rPr>
          <w:rFonts w:hint="eastAsia" w:ascii="仿宋" w:hAnsi="仿宋" w:eastAsia="仿宋" w:cs="仿宋"/>
          <w:color w:val="auto"/>
          <w:sz w:val="32"/>
          <w:szCs w:val="32"/>
          <w:highlight w:val="none"/>
        </w:rPr>
        <w:t>同意所递交的</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文件自</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截止时间起</w:t>
      </w:r>
      <w:r>
        <w:rPr>
          <w:rFonts w:hint="eastAsia" w:ascii="仿宋" w:hAnsi="仿宋" w:eastAsia="仿宋" w:cs="仿宋"/>
          <w:color w:val="auto"/>
          <w:sz w:val="32"/>
          <w:szCs w:val="32"/>
          <w:highlight w:val="none"/>
          <w:lang w:val="en-US" w:eastAsia="zh-CN"/>
        </w:rPr>
        <w:t>90天内</w:t>
      </w:r>
      <w:r>
        <w:rPr>
          <w:rFonts w:hint="eastAsia" w:ascii="仿宋" w:hAnsi="仿宋" w:eastAsia="仿宋" w:cs="仿宋"/>
          <w:color w:val="auto"/>
          <w:sz w:val="32"/>
          <w:szCs w:val="32"/>
          <w:highlight w:val="none"/>
        </w:rPr>
        <w:t>持续有效，在此期间内</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文件对我</w:t>
      </w:r>
      <w:r>
        <w:rPr>
          <w:rFonts w:hint="eastAsia" w:ascii="仿宋" w:hAnsi="仿宋" w:eastAsia="仿宋" w:cs="仿宋"/>
          <w:color w:val="auto"/>
          <w:sz w:val="32"/>
          <w:szCs w:val="32"/>
          <w:highlight w:val="none"/>
          <w:lang w:val="en-US" w:eastAsia="zh-CN"/>
        </w:rPr>
        <w:t>司</w:t>
      </w:r>
      <w:r>
        <w:rPr>
          <w:rFonts w:hint="eastAsia" w:ascii="仿宋" w:hAnsi="仿宋" w:eastAsia="仿宋" w:cs="仿宋"/>
          <w:color w:val="auto"/>
          <w:sz w:val="32"/>
          <w:szCs w:val="32"/>
          <w:highlight w:val="none"/>
        </w:rPr>
        <w:t>持续具有约束力并可随时被接受，我</w:t>
      </w:r>
      <w:r>
        <w:rPr>
          <w:rFonts w:hint="eastAsia" w:ascii="仿宋" w:hAnsi="仿宋" w:eastAsia="仿宋" w:cs="仿宋"/>
          <w:color w:val="auto"/>
          <w:sz w:val="32"/>
          <w:szCs w:val="32"/>
          <w:highlight w:val="none"/>
          <w:lang w:val="en-US" w:eastAsia="zh-CN"/>
        </w:rPr>
        <w:t>司</w:t>
      </w:r>
      <w:r>
        <w:rPr>
          <w:rFonts w:hint="eastAsia" w:ascii="仿宋" w:hAnsi="仿宋" w:eastAsia="仿宋" w:cs="仿宋_GB2312"/>
          <w:color w:val="auto"/>
          <w:sz w:val="32"/>
          <w:szCs w:val="32"/>
          <w:highlight w:val="none"/>
        </w:rPr>
        <w:t>保证在</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文件有效期内不撤回</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文件或修改报价，经贵司同</w:t>
      </w:r>
      <w:r>
        <w:rPr>
          <w:rFonts w:hint="eastAsia" w:ascii="仿宋" w:hAnsi="仿宋" w:eastAsia="仿宋" w:cs="仿宋_GB2312"/>
          <w:color w:val="auto"/>
          <w:sz w:val="32"/>
          <w:szCs w:val="32"/>
          <w:highlight w:val="none"/>
          <w:lang w:eastAsia="zh-CN"/>
        </w:rPr>
        <w:t>意的</w:t>
      </w:r>
      <w:r>
        <w:rPr>
          <w:rFonts w:hint="eastAsia" w:ascii="仿宋" w:hAnsi="仿宋" w:eastAsia="仿宋" w:cs="仿宋_GB2312"/>
          <w:color w:val="auto"/>
          <w:sz w:val="32"/>
          <w:szCs w:val="32"/>
          <w:highlight w:val="none"/>
        </w:rPr>
        <w:t>除外，我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将受其约束。</w:t>
      </w:r>
    </w:p>
    <w:p w14:paraId="45304B82">
      <w:pPr>
        <w:numPr>
          <w:ilvl w:val="0"/>
          <w:numId w:val="0"/>
        </w:num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四、</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保证不与其他单位串通，不出让比选资格，不向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人或评选小组成员行贿</w:t>
      </w:r>
      <w:r>
        <w:rPr>
          <w:rFonts w:hint="eastAsia" w:ascii="仿宋" w:hAnsi="仿宋" w:eastAsia="仿宋" w:cs="仿宋_GB2312"/>
          <w:color w:val="auto"/>
          <w:sz w:val="32"/>
          <w:szCs w:val="32"/>
          <w:highlight w:val="none"/>
          <w:lang w:val="en-US" w:eastAsia="zh-CN"/>
        </w:rPr>
        <w:t>及</w:t>
      </w:r>
      <w:r>
        <w:rPr>
          <w:rFonts w:hint="eastAsia" w:ascii="仿宋" w:hAnsi="仿宋" w:eastAsia="仿宋" w:cs="仿宋_GB2312"/>
          <w:color w:val="auto"/>
          <w:sz w:val="32"/>
          <w:szCs w:val="32"/>
          <w:highlight w:val="none"/>
        </w:rPr>
        <w:t>报销</w:t>
      </w:r>
      <w:r>
        <w:rPr>
          <w:rFonts w:hint="eastAsia" w:ascii="仿宋" w:hAnsi="仿宋" w:eastAsia="仿宋" w:cs="仿宋"/>
          <w:color w:val="auto"/>
          <w:sz w:val="32"/>
          <w:szCs w:val="32"/>
          <w:highlight w:val="none"/>
        </w:rPr>
        <w:t>任何费用</w:t>
      </w:r>
      <w:r>
        <w:rPr>
          <w:rFonts w:hint="eastAsia" w:ascii="仿宋" w:hAnsi="仿宋" w:eastAsia="仿宋" w:cs="仿宋_GB2312"/>
          <w:color w:val="auto"/>
          <w:sz w:val="32"/>
          <w:szCs w:val="32"/>
          <w:highlight w:val="none"/>
        </w:rPr>
        <w:t>，不从事任何可能影响评审公平的其他行为。</w:t>
      </w:r>
    </w:p>
    <w:p w14:paraId="2686EAE7">
      <w:pPr>
        <w:numPr>
          <w:ilvl w:val="0"/>
          <w:numId w:val="0"/>
        </w:num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五、</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完全理解，</w:t>
      </w:r>
      <w:r>
        <w:rPr>
          <w:rFonts w:hint="eastAsia" w:ascii="仿宋" w:hAnsi="仿宋" w:eastAsia="仿宋" w:cs="仿宋_GB2312"/>
          <w:color w:val="auto"/>
          <w:sz w:val="32"/>
          <w:szCs w:val="32"/>
          <w:highlight w:val="none"/>
          <w:lang w:val="en-US" w:eastAsia="zh-CN"/>
        </w:rPr>
        <w:t>评审</w:t>
      </w:r>
      <w:r>
        <w:rPr>
          <w:rFonts w:hint="eastAsia" w:ascii="仿宋" w:hAnsi="仿宋" w:eastAsia="仿宋" w:cs="仿宋_GB2312"/>
          <w:color w:val="auto"/>
          <w:sz w:val="32"/>
          <w:szCs w:val="32"/>
          <w:highlight w:val="none"/>
        </w:rPr>
        <w:t>小组及</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人并无义务必须接受最低报价的比选或其它任何比选。</w:t>
      </w:r>
    </w:p>
    <w:p w14:paraId="4D493028">
      <w:pPr>
        <w:numPr>
          <w:ilvl w:val="0"/>
          <w:numId w:val="0"/>
        </w:numPr>
        <w:adjustRightInd w:val="0"/>
        <w:snapToGrid w:val="0"/>
        <w:spacing w:line="578"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_GB2312"/>
          <w:color w:val="auto"/>
          <w:sz w:val="32"/>
          <w:szCs w:val="32"/>
          <w:highlight w:val="none"/>
          <w:lang w:val="en-US" w:eastAsia="zh-CN"/>
        </w:rPr>
        <w:t>六、如果</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司中标</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lang w:val="en-US" w:eastAsia="zh-CN"/>
        </w:rPr>
        <w:t>我司</w:t>
      </w:r>
      <w:r>
        <w:rPr>
          <w:rFonts w:hint="eastAsia" w:ascii="仿宋" w:hAnsi="仿宋" w:eastAsia="仿宋" w:cs="仿宋_GB2312"/>
          <w:color w:val="auto"/>
          <w:sz w:val="32"/>
          <w:szCs w:val="32"/>
          <w:highlight w:val="none"/>
        </w:rPr>
        <w:t>保证履行</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文件中承诺的全部责任和义务，</w:t>
      </w:r>
      <w:r>
        <w:rPr>
          <w:rFonts w:hint="eastAsia" w:ascii="仿宋" w:hAnsi="仿宋" w:eastAsia="仿宋" w:cs="仿宋"/>
          <w:color w:val="auto"/>
          <w:sz w:val="32"/>
          <w:szCs w:val="32"/>
          <w:highlight w:val="none"/>
        </w:rPr>
        <w:t>承诺按采购人要求的时间及双方协商一致的条款签订</w:t>
      </w:r>
      <w:r>
        <w:rPr>
          <w:rFonts w:hint="eastAsia" w:ascii="仿宋" w:hAnsi="仿宋" w:eastAsia="仿宋" w:cs="仿宋"/>
          <w:color w:val="auto"/>
          <w:sz w:val="32"/>
          <w:szCs w:val="32"/>
          <w:highlight w:val="none"/>
          <w:lang w:val="en-US" w:eastAsia="zh-CN"/>
        </w:rPr>
        <w:t>采购</w:t>
      </w:r>
      <w:r>
        <w:rPr>
          <w:rFonts w:hint="eastAsia" w:ascii="仿宋" w:hAnsi="仿宋" w:eastAsia="仿宋" w:cs="仿宋"/>
          <w:color w:val="auto"/>
          <w:sz w:val="32"/>
          <w:szCs w:val="32"/>
          <w:highlight w:val="none"/>
        </w:rPr>
        <w:t>合同，</w:t>
      </w:r>
      <w:r>
        <w:rPr>
          <w:rFonts w:hint="eastAsia" w:ascii="仿宋" w:hAnsi="仿宋" w:eastAsia="仿宋" w:cs="仿宋"/>
          <w:color w:val="auto"/>
          <w:sz w:val="32"/>
          <w:szCs w:val="32"/>
          <w:highlight w:val="none"/>
          <w:lang w:val="en-US" w:eastAsia="zh-CN"/>
        </w:rPr>
        <w:t>并</w:t>
      </w:r>
      <w:r>
        <w:rPr>
          <w:rFonts w:hint="eastAsia" w:ascii="仿宋" w:hAnsi="仿宋" w:eastAsia="仿宋" w:cs="仿宋"/>
          <w:color w:val="auto"/>
          <w:sz w:val="32"/>
          <w:szCs w:val="32"/>
          <w:highlight w:val="none"/>
        </w:rPr>
        <w:t>承诺在合同约定的期限内完成并移交全部合同</w:t>
      </w:r>
      <w:r>
        <w:rPr>
          <w:rFonts w:hint="eastAsia" w:ascii="仿宋" w:hAnsi="仿宋" w:eastAsia="仿宋" w:cs="仿宋"/>
          <w:color w:val="auto"/>
          <w:sz w:val="32"/>
          <w:szCs w:val="32"/>
          <w:highlight w:val="none"/>
          <w:lang w:val="en-US" w:eastAsia="zh-CN"/>
        </w:rPr>
        <w:t>内容</w:t>
      </w:r>
      <w:r>
        <w:rPr>
          <w:rFonts w:hint="eastAsia" w:ascii="仿宋" w:hAnsi="仿宋" w:eastAsia="仿宋" w:cs="仿宋"/>
          <w:color w:val="auto"/>
          <w:sz w:val="32"/>
          <w:szCs w:val="32"/>
          <w:highlight w:val="none"/>
        </w:rPr>
        <w:t>。</w:t>
      </w:r>
    </w:p>
    <w:p w14:paraId="2959531B">
      <w:pPr>
        <w:adjustRightInd w:val="0"/>
        <w:snapToGrid w:val="0"/>
        <w:spacing w:line="578" w:lineRule="exact"/>
        <w:ind w:firstLine="640" w:firstLineChars="200"/>
        <w:rPr>
          <w:rFonts w:ascii="仿宋_GB2312" w:hAnsi="仿宋_GB2312" w:eastAsia="仿宋_GB2312" w:cs="仿宋_GB2312"/>
          <w:color w:val="auto"/>
          <w:sz w:val="32"/>
          <w:szCs w:val="32"/>
          <w:highlight w:val="none"/>
        </w:rPr>
      </w:pP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rPr>
        <w:t>我</w:t>
      </w:r>
      <w:r>
        <w:rPr>
          <w:rFonts w:hint="eastAsia" w:ascii="仿宋" w:hAnsi="仿宋" w:eastAsia="仿宋" w:cs="仿宋"/>
          <w:color w:val="auto"/>
          <w:sz w:val="32"/>
          <w:szCs w:val="32"/>
          <w:highlight w:val="none"/>
          <w:lang w:val="en-US" w:eastAsia="zh-CN"/>
        </w:rPr>
        <w:t>司</w:t>
      </w:r>
      <w:r>
        <w:rPr>
          <w:rFonts w:hint="eastAsia" w:ascii="仿宋" w:hAnsi="仿宋" w:eastAsia="仿宋" w:cs="仿宋"/>
          <w:color w:val="auto"/>
          <w:sz w:val="32"/>
          <w:szCs w:val="32"/>
          <w:highlight w:val="none"/>
        </w:rPr>
        <w:t>自行负担有关本次</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的所用费用和风险。</w:t>
      </w:r>
    </w:p>
    <w:p w14:paraId="1B0541B0">
      <w:pPr>
        <w:adjustRightInd w:val="0"/>
        <w:snapToGrid w:val="0"/>
        <w:spacing w:line="578" w:lineRule="exact"/>
        <w:ind w:firstLine="640" w:firstLineChars="200"/>
        <w:rPr>
          <w:rFonts w:ascii="仿宋_GB2312" w:hAnsi="仿宋_GB2312" w:eastAsia="仿宋_GB2312" w:cs="仿宋_GB2312"/>
          <w:color w:val="auto"/>
          <w:sz w:val="32"/>
          <w:szCs w:val="32"/>
          <w:highlight w:val="none"/>
        </w:rPr>
      </w:pPr>
    </w:p>
    <w:p w14:paraId="548F0AB4">
      <w:pPr>
        <w:wordWrap w:val="0"/>
        <w:adjustRightInd w:val="0"/>
        <w:snapToGrid w:val="0"/>
        <w:spacing w:line="578" w:lineRule="exact"/>
        <w:jc w:val="left"/>
        <w:rPr>
          <w:rFonts w:ascii="仿宋_GB2312" w:hAnsi="仿宋_GB2312" w:eastAsia="仿宋_GB2312" w:cs="仿宋_GB2312"/>
          <w:color w:val="auto"/>
          <w:sz w:val="32"/>
          <w:szCs w:val="32"/>
          <w:highlight w:val="none"/>
        </w:rPr>
      </w:pPr>
    </w:p>
    <w:p w14:paraId="140BDEB0">
      <w:pPr>
        <w:wordWrap w:val="0"/>
        <w:adjustRightInd w:val="0"/>
        <w:snapToGrid w:val="0"/>
        <w:spacing w:line="578" w:lineRule="exact"/>
        <w:jc w:val="left"/>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申请人（盖章）：</w:t>
      </w:r>
      <w:r>
        <w:rPr>
          <w:rFonts w:hint="eastAsia" w:ascii="仿宋_GB2312" w:hAnsi="仿宋_GB2312" w:eastAsia="仿宋_GB2312" w:cs="仿宋_GB2312"/>
          <w:color w:val="auto"/>
          <w:sz w:val="32"/>
          <w:szCs w:val="32"/>
          <w:highlight w:val="none"/>
          <w:u w:val="single"/>
        </w:rPr>
        <w:t xml:space="preserve">                        </w:t>
      </w:r>
    </w:p>
    <w:p w14:paraId="648FF22A">
      <w:pPr>
        <w:adjustRightInd w:val="0"/>
        <w:snapToGrid w:val="0"/>
        <w:spacing w:line="578" w:lineRule="exact"/>
        <w:ind w:firstLine="640" w:firstLineChars="200"/>
        <w:jc w:val="left"/>
        <w:rPr>
          <w:rFonts w:ascii="仿宋_GB2312" w:hAnsi="仿宋_GB2312" w:eastAsia="仿宋_GB2312" w:cs="仿宋_GB2312"/>
          <w:color w:val="auto"/>
          <w:sz w:val="32"/>
          <w:szCs w:val="32"/>
          <w:highlight w:val="none"/>
        </w:rPr>
      </w:pPr>
    </w:p>
    <w:p w14:paraId="25D54229">
      <w:pPr>
        <w:wordWrap w:val="0"/>
        <w:adjustRightInd w:val="0"/>
        <w:snapToGrid w:val="0"/>
        <w:spacing w:line="578" w:lineRule="exact"/>
        <w:jc w:val="left"/>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eastAsia="zh-CN"/>
        </w:rPr>
        <w:t>法定代表人</w:t>
      </w:r>
      <w:r>
        <w:rPr>
          <w:rFonts w:hint="eastAsia" w:ascii="仿宋_GB2312" w:hAnsi="仿宋_GB2312" w:eastAsia="仿宋_GB2312" w:cs="仿宋_GB2312"/>
          <w:color w:val="auto"/>
          <w:sz w:val="32"/>
          <w:szCs w:val="32"/>
          <w:highlight w:val="none"/>
        </w:rPr>
        <w:t>或授权委托人（签</w:t>
      </w:r>
      <w:r>
        <w:rPr>
          <w:rFonts w:hint="eastAsia" w:ascii="仿宋_GB2312" w:hAnsi="仿宋_GB2312" w:eastAsia="仿宋_GB2312" w:cs="仿宋_GB2312"/>
          <w:color w:val="auto"/>
          <w:sz w:val="32"/>
          <w:szCs w:val="32"/>
          <w:highlight w:val="none"/>
          <w:lang w:val="en-US" w:eastAsia="zh-CN"/>
        </w:rPr>
        <w:t>章</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p>
    <w:p w14:paraId="2B952663">
      <w:pPr>
        <w:adjustRightInd w:val="0"/>
        <w:snapToGrid w:val="0"/>
        <w:spacing w:line="578" w:lineRule="exact"/>
        <w:ind w:firstLine="640" w:firstLineChars="200"/>
        <w:jc w:val="left"/>
        <w:rPr>
          <w:rFonts w:ascii="仿宋_GB2312" w:hAnsi="仿宋_GB2312" w:eastAsia="仿宋_GB2312" w:cs="仿宋_GB2312"/>
          <w:color w:val="auto"/>
          <w:sz w:val="32"/>
          <w:szCs w:val="32"/>
          <w:highlight w:val="none"/>
        </w:rPr>
      </w:pPr>
    </w:p>
    <w:p w14:paraId="500D3DFD">
      <w:pPr>
        <w:adjustRightInd w:val="0"/>
        <w:snapToGrid w:val="0"/>
        <w:spacing w:line="578" w:lineRule="exact"/>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日期：   年    月    日       </w:t>
      </w:r>
    </w:p>
    <w:p w14:paraId="21C0981B">
      <w:pPr>
        <w:spacing w:line="578" w:lineRule="exact"/>
        <w:jc w:val="left"/>
        <w:rPr>
          <w:color w:val="auto"/>
          <w:sz w:val="32"/>
          <w:szCs w:val="32"/>
          <w:highlight w:val="none"/>
        </w:rPr>
      </w:pPr>
    </w:p>
    <w:p w14:paraId="5C764874">
      <w:pPr>
        <w:spacing w:line="578" w:lineRule="exact"/>
        <w:rPr>
          <w:rFonts w:ascii="宋体" w:hAnsi="宋体" w:eastAsia="宋体" w:cs="宋体"/>
          <w:color w:val="auto"/>
          <w:sz w:val="32"/>
          <w:szCs w:val="32"/>
          <w:highlight w:val="none"/>
        </w:rPr>
      </w:pPr>
    </w:p>
    <w:p w14:paraId="4628003D">
      <w:pPr>
        <w:spacing w:line="578" w:lineRule="exact"/>
        <w:rPr>
          <w:rFonts w:ascii="宋体" w:hAnsi="宋体" w:eastAsia="宋体" w:cs="宋体"/>
          <w:color w:val="auto"/>
          <w:sz w:val="32"/>
          <w:szCs w:val="32"/>
          <w:highlight w:val="none"/>
        </w:rPr>
      </w:pPr>
    </w:p>
    <w:p w14:paraId="5B3581F2">
      <w:pPr>
        <w:spacing w:line="578" w:lineRule="exact"/>
        <w:rPr>
          <w:rFonts w:ascii="宋体" w:hAnsi="宋体" w:eastAsia="宋体" w:cs="宋体"/>
          <w:color w:val="auto"/>
          <w:sz w:val="32"/>
          <w:szCs w:val="32"/>
          <w:highlight w:val="none"/>
        </w:rPr>
      </w:pPr>
    </w:p>
    <w:p w14:paraId="1E624CFA">
      <w:pPr>
        <w:spacing w:line="578" w:lineRule="exact"/>
        <w:rPr>
          <w:rFonts w:ascii="宋体" w:hAnsi="宋体" w:eastAsia="宋体" w:cs="宋体"/>
          <w:color w:val="auto"/>
          <w:sz w:val="32"/>
          <w:szCs w:val="32"/>
          <w:highlight w:val="none"/>
        </w:rPr>
      </w:pPr>
    </w:p>
    <w:p w14:paraId="5138F775">
      <w:pPr>
        <w:spacing w:line="578" w:lineRule="exact"/>
        <w:rPr>
          <w:rFonts w:ascii="宋体" w:hAnsi="宋体" w:eastAsia="宋体" w:cs="宋体"/>
          <w:color w:val="auto"/>
          <w:sz w:val="32"/>
          <w:szCs w:val="32"/>
          <w:highlight w:val="none"/>
        </w:rPr>
      </w:pPr>
    </w:p>
    <w:p w14:paraId="49AEFC59">
      <w:pPr>
        <w:spacing w:line="578" w:lineRule="exact"/>
        <w:rPr>
          <w:rFonts w:ascii="宋体" w:hAnsi="宋体" w:eastAsia="宋体" w:cs="宋体"/>
          <w:color w:val="auto"/>
          <w:sz w:val="32"/>
          <w:szCs w:val="32"/>
          <w:highlight w:val="none"/>
        </w:rPr>
      </w:pPr>
    </w:p>
    <w:p w14:paraId="523C9D66">
      <w:pPr>
        <w:spacing w:line="578" w:lineRule="exact"/>
        <w:rPr>
          <w:rFonts w:ascii="宋体" w:hAnsi="宋体" w:eastAsia="宋体" w:cs="宋体"/>
          <w:color w:val="auto"/>
          <w:sz w:val="32"/>
          <w:szCs w:val="32"/>
          <w:highlight w:val="none"/>
        </w:rPr>
      </w:pPr>
    </w:p>
    <w:p w14:paraId="1DC41376">
      <w:pPr>
        <w:spacing w:line="578" w:lineRule="exact"/>
        <w:rPr>
          <w:rFonts w:ascii="宋体" w:hAnsi="宋体" w:eastAsia="宋体" w:cs="宋体"/>
          <w:color w:val="auto"/>
          <w:sz w:val="32"/>
          <w:szCs w:val="32"/>
          <w:highlight w:val="none"/>
        </w:rPr>
      </w:pPr>
    </w:p>
    <w:p w14:paraId="360FAA6E">
      <w:pPr>
        <w:spacing w:line="578" w:lineRule="exact"/>
        <w:rPr>
          <w:rFonts w:ascii="宋体" w:hAnsi="宋体" w:eastAsia="宋体" w:cs="宋体"/>
          <w:color w:val="auto"/>
          <w:sz w:val="32"/>
          <w:szCs w:val="32"/>
          <w:highlight w:val="none"/>
        </w:rPr>
      </w:pPr>
    </w:p>
    <w:p w14:paraId="441422E0">
      <w:pPr>
        <w:spacing w:line="578" w:lineRule="exact"/>
        <w:rPr>
          <w:rFonts w:ascii="宋体" w:hAnsi="宋体" w:eastAsia="宋体" w:cs="宋体"/>
          <w:color w:val="auto"/>
          <w:sz w:val="32"/>
          <w:szCs w:val="32"/>
          <w:highlight w:val="none"/>
        </w:rPr>
      </w:pPr>
      <w:bookmarkStart w:id="46" w:name="_Toc15270"/>
      <w:r>
        <w:rPr>
          <w:rFonts w:hint="eastAsia" w:ascii="黑体" w:hAnsi="黑体" w:eastAsia="黑体" w:cs="黑体"/>
          <w:color w:val="auto"/>
          <w:sz w:val="32"/>
          <w:szCs w:val="32"/>
          <w:highlight w:val="none"/>
        </w:rPr>
        <w:t>附件2</w:t>
      </w:r>
      <w:bookmarkEnd w:id="46"/>
    </w:p>
    <w:p w14:paraId="3922A9A1">
      <w:pPr>
        <w:spacing w:line="578" w:lineRule="exact"/>
        <w:outlineLvl w:val="0"/>
        <w:rPr>
          <w:rFonts w:ascii="黑体" w:hAnsi="黑体" w:eastAsia="黑体" w:cs="黑体"/>
          <w:color w:val="auto"/>
          <w:sz w:val="32"/>
          <w:szCs w:val="32"/>
          <w:highlight w:val="none"/>
        </w:rPr>
      </w:pPr>
    </w:p>
    <w:p w14:paraId="56692F3D">
      <w:pPr>
        <w:spacing w:line="578"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报价单</w:t>
      </w:r>
    </w:p>
    <w:p w14:paraId="2E54E908">
      <w:pPr>
        <w:pStyle w:val="5"/>
        <w:spacing w:line="578"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海口市金融控股集团有限公司</w:t>
      </w:r>
      <w:r>
        <w:rPr>
          <w:rFonts w:hint="eastAsia" w:ascii="仿宋_GB2312" w:hAnsi="仿宋_GB2312" w:eastAsia="仿宋_GB2312" w:cs="仿宋_GB2312"/>
          <w:color w:val="auto"/>
          <w:sz w:val="32"/>
          <w:szCs w:val="32"/>
          <w:highlight w:val="none"/>
        </w:rPr>
        <w:t>：</w:t>
      </w:r>
    </w:p>
    <w:p w14:paraId="06035155">
      <w:pPr>
        <w:numPr>
          <w:ilvl w:val="0"/>
          <w:numId w:val="10"/>
        </w:numPr>
        <w:spacing w:line="56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认真研究了贵司《</w:t>
      </w:r>
      <w:r>
        <w:rPr>
          <w:rFonts w:hint="eastAsia" w:ascii="仿宋" w:hAnsi="仿宋" w:eastAsia="仿宋" w:cs="仿宋_GB2312"/>
          <w:color w:val="auto"/>
          <w:sz w:val="32"/>
          <w:szCs w:val="32"/>
          <w:highlight w:val="none"/>
          <w:lang w:val="en-US" w:eastAsia="zh-CN"/>
        </w:rPr>
        <w:t>海口市金融控股</w:t>
      </w:r>
      <w:r>
        <w:rPr>
          <w:rFonts w:hint="eastAsia" w:ascii="仿宋" w:hAnsi="仿宋" w:eastAsia="仿宋" w:cs="仿宋_GB2312"/>
          <w:color w:val="auto"/>
          <w:sz w:val="32"/>
          <w:szCs w:val="32"/>
          <w:highlight w:val="none"/>
        </w:rPr>
        <w:t>集团有限公司</w:t>
      </w:r>
      <w:r>
        <w:rPr>
          <w:rFonts w:hint="eastAsia" w:ascii="仿宋" w:hAnsi="仿宋" w:eastAsia="仿宋" w:cs="仿宋_GB2312"/>
          <w:color w:val="auto"/>
          <w:sz w:val="32"/>
          <w:szCs w:val="32"/>
          <w:highlight w:val="none"/>
          <w:lang w:val="en-US" w:eastAsia="zh-CN"/>
        </w:rPr>
        <w:t>法律</w:t>
      </w:r>
      <w:r>
        <w:rPr>
          <w:rFonts w:hint="eastAsia" w:ascii="仿宋" w:hAnsi="仿宋" w:eastAsia="仿宋" w:cs="仿宋_GB2312"/>
          <w:color w:val="auto"/>
          <w:sz w:val="32"/>
          <w:szCs w:val="32"/>
          <w:highlight w:val="none"/>
        </w:rPr>
        <w:t>服务采购项目比选文件》，愿意按</w:t>
      </w:r>
      <w:r>
        <w:rPr>
          <w:rFonts w:hint="eastAsia" w:ascii="仿宋" w:hAnsi="仿宋" w:eastAsia="仿宋" w:cs="仿宋_GB2312"/>
          <w:color w:val="auto"/>
          <w:sz w:val="32"/>
          <w:szCs w:val="32"/>
          <w:highlight w:val="none"/>
          <w:lang w:val="en-US" w:eastAsia="zh-CN"/>
        </w:rPr>
        <w:t>以下价格（</w:t>
      </w:r>
      <w:r>
        <w:rPr>
          <w:rFonts w:hint="eastAsia" w:ascii="仿宋" w:hAnsi="仿宋" w:eastAsia="仿宋" w:cs="仿宋_GB2312"/>
          <w:color w:val="auto"/>
          <w:sz w:val="32"/>
          <w:szCs w:val="32"/>
          <w:highlight w:val="none"/>
        </w:rPr>
        <w:t>含由此产生的差旅费、税费等所有费用</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承包采购比选文件规定的服务，并开具增值税专用发票</w:t>
      </w:r>
      <w:r>
        <w:rPr>
          <w:rFonts w:hint="eastAsia" w:ascii="仿宋" w:hAnsi="仿宋" w:eastAsia="仿宋" w:cs="仿宋_GB2312"/>
          <w:color w:val="auto"/>
          <w:sz w:val="32"/>
          <w:szCs w:val="32"/>
          <w:highlight w:val="none"/>
          <w:lang w:eastAsia="zh-CN"/>
        </w:rPr>
        <w:t>：</w:t>
      </w:r>
    </w:p>
    <w:p w14:paraId="4F8FF0DF">
      <w:pPr>
        <w:numPr>
          <w:ilvl w:val="0"/>
          <w:numId w:val="0"/>
        </w:numPr>
        <w:spacing w:line="560" w:lineRule="exact"/>
        <w:ind w:left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金额：大写</w:t>
      </w:r>
      <w:r>
        <w:rPr>
          <w:rFonts w:hint="eastAsia" w:ascii="仿宋" w:hAnsi="仿宋" w:eastAsia="仿宋" w:cs="仿宋_GB2312"/>
          <w:color w:val="auto"/>
          <w:sz w:val="32"/>
          <w:szCs w:val="32"/>
          <w:highlight w:val="none"/>
          <w:u w:val="single"/>
          <w:lang w:val="en-US" w:eastAsia="zh-CN"/>
        </w:rPr>
        <w:t xml:space="preserve">      </w:t>
      </w:r>
      <w:r>
        <w:rPr>
          <w:rFonts w:hint="eastAsia" w:ascii="仿宋" w:hAnsi="仿宋" w:eastAsia="仿宋" w:cs="仿宋_GB2312"/>
          <w:color w:val="auto"/>
          <w:sz w:val="32"/>
          <w:szCs w:val="32"/>
          <w:highlight w:val="none"/>
          <w:lang w:val="en-US" w:eastAsia="zh-CN"/>
        </w:rPr>
        <w:t>元（小写</w:t>
      </w:r>
      <w:r>
        <w:rPr>
          <w:rFonts w:hint="eastAsia" w:ascii="仿宋" w:hAnsi="仿宋" w:eastAsia="仿宋" w:cs="仿宋_GB2312"/>
          <w:color w:val="auto"/>
          <w:sz w:val="32"/>
          <w:szCs w:val="32"/>
          <w:highlight w:val="none"/>
          <w:u w:val="single"/>
          <w:lang w:val="en-US" w:eastAsia="zh-CN"/>
        </w:rPr>
        <w:t xml:space="preserve">      </w:t>
      </w:r>
      <w:r>
        <w:rPr>
          <w:rFonts w:hint="eastAsia" w:ascii="仿宋" w:hAnsi="仿宋" w:eastAsia="仿宋" w:cs="仿宋_GB2312"/>
          <w:color w:val="auto"/>
          <w:sz w:val="32"/>
          <w:szCs w:val="32"/>
          <w:highlight w:val="none"/>
          <w:lang w:val="en-US" w:eastAsia="zh-CN"/>
        </w:rPr>
        <w:t>元）</w:t>
      </w:r>
    </w:p>
    <w:p w14:paraId="01DEEDDD">
      <w:pPr>
        <w:numPr>
          <w:ilvl w:val="0"/>
          <w:numId w:val="10"/>
        </w:numPr>
        <w:spacing w:line="56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同意所递交的</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文件自</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截止时间起的</w:t>
      </w:r>
      <w:r>
        <w:rPr>
          <w:rFonts w:hint="eastAsia" w:ascii="仿宋" w:hAnsi="仿宋" w:eastAsia="仿宋" w:cs="仿宋_GB2312"/>
          <w:color w:val="auto"/>
          <w:sz w:val="32"/>
          <w:szCs w:val="32"/>
          <w:highlight w:val="none"/>
          <w:lang w:val="en-US" w:eastAsia="zh-CN"/>
        </w:rPr>
        <w:t>90天</w:t>
      </w:r>
      <w:r>
        <w:rPr>
          <w:rFonts w:hint="eastAsia" w:ascii="仿宋" w:hAnsi="仿宋" w:eastAsia="仿宋" w:cs="仿宋_GB2312"/>
          <w:color w:val="auto"/>
          <w:sz w:val="32"/>
          <w:szCs w:val="32"/>
          <w:highlight w:val="none"/>
        </w:rPr>
        <w:t>及经我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同意延长的期限内持续有效，在此期间内比选文件对我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持续具有约束力并可随时被接受，我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保证在</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文件有效期内不撤回</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文件或修改比选报价，经贵司同意除外，我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将受其约束。</w:t>
      </w:r>
    </w:p>
    <w:p w14:paraId="4A598FA5">
      <w:pPr>
        <w:numPr>
          <w:ilvl w:val="0"/>
          <w:numId w:val="10"/>
        </w:numPr>
        <w:spacing w:line="56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如果我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的</w:t>
      </w:r>
      <w:r>
        <w:rPr>
          <w:rFonts w:hint="eastAsia" w:ascii="仿宋" w:hAnsi="仿宋" w:eastAsia="仿宋" w:cs="仿宋_GB2312"/>
          <w:color w:val="auto"/>
          <w:sz w:val="32"/>
          <w:szCs w:val="32"/>
          <w:highlight w:val="none"/>
          <w:lang w:val="en-US" w:eastAsia="zh-CN"/>
        </w:rPr>
        <w:t>比</w:t>
      </w:r>
      <w:r>
        <w:rPr>
          <w:rFonts w:hint="eastAsia" w:ascii="仿宋" w:hAnsi="仿宋" w:eastAsia="仿宋" w:cs="仿宋_GB2312"/>
          <w:color w:val="auto"/>
          <w:sz w:val="32"/>
          <w:szCs w:val="32"/>
          <w:highlight w:val="none"/>
        </w:rPr>
        <w:t>选被接受，我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保证</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文件直至合同履行完毕持续有效，并承诺按</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人要求的时间及双方协商一致的条款签订合同。</w:t>
      </w:r>
    </w:p>
    <w:p w14:paraId="1B51902A">
      <w:pPr>
        <w:numPr>
          <w:ilvl w:val="0"/>
          <w:numId w:val="10"/>
        </w:numPr>
        <w:spacing w:line="56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愿意提供贵司要求的有关本次比选的其他资料。</w:t>
      </w:r>
    </w:p>
    <w:p w14:paraId="0A9063FA">
      <w:pPr>
        <w:numPr>
          <w:ilvl w:val="0"/>
          <w:numId w:val="10"/>
        </w:numPr>
        <w:spacing w:line="560" w:lineRule="exact"/>
        <w:ind w:firstLine="640" w:firstLineChars="200"/>
        <w:rPr>
          <w:rFonts w:ascii="仿宋" w:hAnsi="仿宋" w:eastAsia="仿宋"/>
          <w:color w:val="auto"/>
          <w:sz w:val="32"/>
          <w:szCs w:val="32"/>
          <w:highlight w:val="none"/>
        </w:rPr>
      </w:pP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自行负担有关本次比选的所用费用和风险。</w:t>
      </w:r>
    </w:p>
    <w:p w14:paraId="629E8898">
      <w:pPr>
        <w:numPr>
          <w:ilvl w:val="0"/>
          <w:numId w:val="0"/>
        </w:numPr>
        <w:spacing w:line="560" w:lineRule="exact"/>
        <w:ind w:leftChars="200"/>
        <w:rPr>
          <w:rFonts w:ascii="仿宋" w:hAnsi="仿宋" w:eastAsia="仿宋"/>
          <w:color w:val="auto"/>
          <w:sz w:val="32"/>
          <w:szCs w:val="32"/>
          <w:highlight w:val="none"/>
        </w:rPr>
      </w:pPr>
    </w:p>
    <w:p w14:paraId="5FDFDC85">
      <w:pPr>
        <w:spacing w:line="578" w:lineRule="exact"/>
        <w:ind w:firstLine="640" w:firstLineChars="200"/>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rPr>
        <w:t>申请人（盖章）：</w:t>
      </w:r>
      <w:r>
        <w:rPr>
          <w:rFonts w:hint="eastAsia" w:ascii="仿宋" w:hAnsi="仿宋" w:eastAsia="仿宋" w:cs="仿宋_GB2312"/>
          <w:color w:val="auto"/>
          <w:sz w:val="32"/>
          <w:szCs w:val="32"/>
          <w:highlight w:val="none"/>
          <w:u w:val="single"/>
        </w:rPr>
        <w:t xml:space="preserve">                          </w:t>
      </w:r>
    </w:p>
    <w:p w14:paraId="6AF7B6B9">
      <w:pPr>
        <w:spacing w:line="578" w:lineRule="exact"/>
        <w:ind w:firstLine="640" w:firstLineChars="200"/>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lang w:eastAsia="zh-CN"/>
        </w:rPr>
        <w:t>法定代表人</w:t>
      </w:r>
      <w:r>
        <w:rPr>
          <w:rFonts w:hint="eastAsia" w:ascii="仿宋" w:hAnsi="仿宋" w:eastAsia="仿宋" w:cs="仿宋_GB2312"/>
          <w:color w:val="auto"/>
          <w:sz w:val="32"/>
          <w:szCs w:val="32"/>
          <w:highlight w:val="none"/>
        </w:rPr>
        <w:t>或授权委托人（签</w:t>
      </w:r>
      <w:r>
        <w:rPr>
          <w:rFonts w:hint="eastAsia" w:ascii="仿宋_GB2312" w:hAnsi="仿宋_GB2312" w:eastAsia="仿宋_GB2312" w:cs="仿宋_GB2312"/>
          <w:color w:val="auto"/>
          <w:sz w:val="32"/>
          <w:szCs w:val="32"/>
          <w:highlight w:val="none"/>
          <w:lang w:val="en-US" w:eastAsia="zh-CN"/>
        </w:rPr>
        <w:t>章</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u w:val="single"/>
        </w:rPr>
        <w:t xml:space="preserve">          </w:t>
      </w:r>
    </w:p>
    <w:p w14:paraId="050C614F">
      <w:pPr>
        <w:spacing w:line="578" w:lineRule="exact"/>
        <w:ind w:firstLine="640" w:firstLineChars="200"/>
        <w:jc w:val="right"/>
        <w:rPr>
          <w:rFonts w:hint="eastAsia" w:ascii="仿宋" w:hAnsi="仿宋" w:eastAsia="仿宋" w:cs="仿宋_GB2312"/>
          <w:color w:val="auto"/>
          <w:sz w:val="32"/>
          <w:szCs w:val="32"/>
          <w:highlight w:val="none"/>
        </w:rPr>
      </w:pPr>
    </w:p>
    <w:p w14:paraId="72CA8F05">
      <w:pPr>
        <w:spacing w:line="578" w:lineRule="exact"/>
        <w:ind w:firstLine="640" w:firstLineChars="200"/>
        <w:jc w:val="righ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 xml:space="preserve">日期：   年   月   日         </w:t>
      </w:r>
    </w:p>
    <w:p w14:paraId="16FA695E">
      <w:pPr>
        <w:spacing w:line="578" w:lineRule="exac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FD903F9">
      <w:pPr>
        <w:spacing w:line="578" w:lineRule="exact"/>
        <w:outlineLvl w:val="0"/>
        <w:rPr>
          <w:rFonts w:hint="eastAsia" w:ascii="黑体" w:hAnsi="黑体" w:eastAsia="黑体" w:cs="黑体"/>
          <w:color w:val="auto"/>
          <w:sz w:val="32"/>
          <w:szCs w:val="32"/>
          <w:highlight w:val="none"/>
          <w:lang w:val="en-US" w:eastAsia="zh-CN"/>
        </w:rPr>
      </w:pPr>
      <w:bookmarkStart w:id="47" w:name="_Toc22933"/>
      <w:r>
        <w:rPr>
          <w:rFonts w:hint="eastAsia" w:ascii="黑体" w:hAnsi="黑体" w:eastAsia="黑体" w:cs="黑体"/>
          <w:color w:val="auto"/>
          <w:sz w:val="32"/>
          <w:szCs w:val="32"/>
          <w:highlight w:val="none"/>
        </w:rPr>
        <w:t>附件</w:t>
      </w:r>
      <w:bookmarkEnd w:id="47"/>
      <w:r>
        <w:rPr>
          <w:rFonts w:hint="eastAsia" w:ascii="黑体" w:hAnsi="黑体" w:eastAsia="黑体" w:cs="黑体"/>
          <w:color w:val="auto"/>
          <w:sz w:val="32"/>
          <w:szCs w:val="32"/>
          <w:highlight w:val="none"/>
          <w:lang w:val="en-US" w:eastAsia="zh-CN"/>
        </w:rPr>
        <w:t>3</w:t>
      </w:r>
    </w:p>
    <w:p w14:paraId="404A3EB0">
      <w:pPr>
        <w:pStyle w:val="3"/>
        <w:outlineLvl w:val="9"/>
        <w:rPr>
          <w:color w:val="auto"/>
          <w:highlight w:val="none"/>
          <w:lang w:val="en-US"/>
        </w:rPr>
      </w:pPr>
    </w:p>
    <w:p w14:paraId="58625803">
      <w:pPr>
        <w:spacing w:line="578"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廉洁承诺书</w:t>
      </w:r>
    </w:p>
    <w:p w14:paraId="6B71F49A">
      <w:pPr>
        <w:spacing w:line="578" w:lineRule="exact"/>
        <w:rPr>
          <w:color w:val="auto"/>
          <w:highlight w:val="none"/>
        </w:rPr>
      </w:pPr>
    </w:p>
    <w:p w14:paraId="58FB6C5E">
      <w:pPr>
        <w:pStyle w:val="5"/>
        <w:spacing w:line="578" w:lineRule="exac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海口市金融控股集团有限公司</w:t>
      </w:r>
      <w:r>
        <w:rPr>
          <w:rFonts w:hint="eastAsia" w:ascii="仿宋_GB2312" w:hAnsi="仿宋_GB2312" w:eastAsia="仿宋_GB2312" w:cs="仿宋_GB2312"/>
          <w:color w:val="auto"/>
          <w:sz w:val="32"/>
          <w:szCs w:val="32"/>
          <w:highlight w:val="none"/>
        </w:rPr>
        <w:t>：</w:t>
      </w:r>
    </w:p>
    <w:p w14:paraId="4D1312C6">
      <w:p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人承诺在比选过程中自觉遵守以下廉洁自律约定：</w:t>
      </w:r>
    </w:p>
    <w:p w14:paraId="17E36049">
      <w:pPr>
        <w:numPr>
          <w:ilvl w:val="0"/>
          <w:numId w:val="11"/>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人与</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人之间不存在任何个人利益动机；</w:t>
      </w:r>
    </w:p>
    <w:p w14:paraId="282C7810">
      <w:pPr>
        <w:numPr>
          <w:ilvl w:val="0"/>
          <w:numId w:val="11"/>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不引诱、骗取采购人员工泄露底价、价格、评审过程情况等商业秘密，不与其他比选单位串通；</w:t>
      </w:r>
    </w:p>
    <w:p w14:paraId="5054D16A">
      <w:pPr>
        <w:numPr>
          <w:ilvl w:val="0"/>
          <w:numId w:val="11"/>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不擅自与</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人员工就</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文件中的质量、数量、价格、工程量、验收等条款进行私下商谈或者达成默契以达到降低合同要求的行为；</w:t>
      </w:r>
    </w:p>
    <w:p w14:paraId="25C3D4AB">
      <w:pPr>
        <w:numPr>
          <w:ilvl w:val="0"/>
          <w:numId w:val="11"/>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人员工及其亲属或其委托人、代理人提供任何好处费、回扣、现金及有价证券、支付凭证、贵重礼物、借贷等；</w:t>
      </w:r>
    </w:p>
    <w:p w14:paraId="7CD70B61">
      <w:pPr>
        <w:numPr>
          <w:ilvl w:val="0"/>
          <w:numId w:val="11"/>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人员工及其亲属提供可能影响其公正履行职务行为的宴请、娱乐、体育、休闲、旅游等活动；</w:t>
      </w:r>
    </w:p>
    <w:p w14:paraId="5D20A24E">
      <w:pPr>
        <w:numPr>
          <w:ilvl w:val="0"/>
          <w:numId w:val="11"/>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不给</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人员工及其亲属报销任何费用；</w:t>
      </w:r>
    </w:p>
    <w:p w14:paraId="6C025958">
      <w:pPr>
        <w:numPr>
          <w:ilvl w:val="0"/>
          <w:numId w:val="11"/>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人员工及其亲属提供任何名借实贿的汽车、房产等；</w:t>
      </w:r>
    </w:p>
    <w:p w14:paraId="797E03E0">
      <w:pPr>
        <w:numPr>
          <w:ilvl w:val="0"/>
          <w:numId w:val="11"/>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人员工及其亲属提供家庭装修、工作、出国、留学等任何利益，或以委托理财方式输送利益；</w:t>
      </w:r>
    </w:p>
    <w:p w14:paraId="46830FEB">
      <w:pPr>
        <w:numPr>
          <w:ilvl w:val="0"/>
          <w:numId w:val="11"/>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确保本机构人员了解并自觉遵守本承诺书，若发现本机构任何人员有向采购人员工行贿倾向、建议或行为的，应予制止、批评教育，并主动向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人通报有关情况。发现</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人员工有索贿、受贿行为的，应坚决拒绝，并向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w:t>
      </w:r>
      <w:r>
        <w:rPr>
          <w:rFonts w:hint="eastAsia" w:ascii="仿宋" w:hAnsi="仿宋" w:eastAsia="仿宋" w:cs="仿宋_GB2312"/>
          <w:color w:val="auto"/>
          <w:sz w:val="32"/>
          <w:szCs w:val="32"/>
          <w:highlight w:val="none"/>
          <w:lang w:val="en-US" w:eastAsia="zh-CN"/>
        </w:rPr>
        <w:t>监督</w:t>
      </w:r>
      <w:r>
        <w:rPr>
          <w:rFonts w:hint="eastAsia" w:ascii="仿宋" w:hAnsi="仿宋" w:eastAsia="仿宋" w:cs="仿宋_GB2312"/>
          <w:color w:val="auto"/>
          <w:sz w:val="32"/>
          <w:szCs w:val="32"/>
          <w:highlight w:val="none"/>
        </w:rPr>
        <w:t>部</w:t>
      </w:r>
      <w:r>
        <w:rPr>
          <w:rFonts w:hint="eastAsia" w:ascii="仿宋" w:hAnsi="仿宋" w:eastAsia="仿宋" w:cs="仿宋_GB2312"/>
          <w:color w:val="auto"/>
          <w:sz w:val="32"/>
          <w:szCs w:val="32"/>
          <w:highlight w:val="none"/>
          <w:lang w:val="en-US" w:eastAsia="zh-CN"/>
        </w:rPr>
        <w:t>门</w:t>
      </w:r>
      <w:r>
        <w:rPr>
          <w:rFonts w:hint="eastAsia" w:ascii="仿宋" w:hAnsi="仿宋" w:eastAsia="仿宋" w:cs="仿宋_GB2312"/>
          <w:color w:val="auto"/>
          <w:sz w:val="32"/>
          <w:szCs w:val="32"/>
          <w:highlight w:val="none"/>
        </w:rPr>
        <w:t>举报。</w:t>
      </w:r>
    </w:p>
    <w:p w14:paraId="474F59EA">
      <w:pPr>
        <w:spacing w:line="578" w:lineRule="exact"/>
        <w:ind w:firstLine="640" w:firstLineChars="200"/>
        <w:rPr>
          <w:rFonts w:ascii="仿宋" w:hAnsi="仿宋" w:eastAsia="仿宋" w:cs="仿宋_GB2312"/>
          <w:color w:val="auto"/>
          <w:sz w:val="32"/>
          <w:szCs w:val="32"/>
          <w:highlight w:val="none"/>
        </w:rPr>
      </w:pPr>
    </w:p>
    <w:p w14:paraId="1BA3EDC2">
      <w:pPr>
        <w:spacing w:line="578" w:lineRule="exact"/>
        <w:rPr>
          <w:rFonts w:ascii="仿宋" w:hAnsi="仿宋" w:eastAsia="仿宋"/>
          <w:color w:val="auto"/>
          <w:sz w:val="32"/>
          <w:szCs w:val="32"/>
          <w:highlight w:val="none"/>
        </w:rPr>
      </w:pPr>
    </w:p>
    <w:p w14:paraId="0D85CFDE">
      <w:pPr>
        <w:spacing w:line="578" w:lineRule="exact"/>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rPr>
        <w:t>申请人（盖章）：</w:t>
      </w:r>
      <w:r>
        <w:rPr>
          <w:rFonts w:hint="eastAsia" w:ascii="仿宋" w:hAnsi="仿宋" w:eastAsia="仿宋" w:cs="仿宋_GB2312"/>
          <w:color w:val="auto"/>
          <w:sz w:val="32"/>
          <w:szCs w:val="32"/>
          <w:highlight w:val="none"/>
          <w:u w:val="single"/>
        </w:rPr>
        <w:t xml:space="preserve">                       </w:t>
      </w:r>
    </w:p>
    <w:p w14:paraId="742474F5">
      <w:pPr>
        <w:spacing w:line="578" w:lineRule="exact"/>
        <w:ind w:firstLine="480"/>
        <w:jc w:val="left"/>
        <w:rPr>
          <w:rFonts w:ascii="仿宋" w:hAnsi="仿宋" w:eastAsia="仿宋" w:cs="仿宋_GB2312"/>
          <w:color w:val="auto"/>
          <w:sz w:val="32"/>
          <w:szCs w:val="32"/>
          <w:highlight w:val="none"/>
        </w:rPr>
      </w:pPr>
    </w:p>
    <w:p w14:paraId="414CB472">
      <w:pPr>
        <w:spacing w:line="578" w:lineRule="exact"/>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lang w:eastAsia="zh-CN"/>
        </w:rPr>
        <w:t>法定代表人</w:t>
      </w:r>
      <w:r>
        <w:rPr>
          <w:rFonts w:hint="eastAsia" w:ascii="仿宋" w:hAnsi="仿宋" w:eastAsia="仿宋" w:cs="仿宋_GB2312"/>
          <w:color w:val="auto"/>
          <w:sz w:val="32"/>
          <w:szCs w:val="32"/>
          <w:highlight w:val="none"/>
        </w:rPr>
        <w:t>或授权委托人（签</w:t>
      </w:r>
      <w:r>
        <w:rPr>
          <w:rFonts w:hint="eastAsia" w:ascii="仿宋_GB2312" w:hAnsi="仿宋_GB2312" w:eastAsia="仿宋_GB2312" w:cs="仿宋_GB2312"/>
          <w:color w:val="auto"/>
          <w:sz w:val="32"/>
          <w:szCs w:val="32"/>
          <w:highlight w:val="none"/>
          <w:lang w:val="en-US" w:eastAsia="zh-CN"/>
        </w:rPr>
        <w:t>章</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 xml:space="preserve"> </w:t>
      </w:r>
    </w:p>
    <w:p w14:paraId="251BF8CB">
      <w:pPr>
        <w:spacing w:line="578" w:lineRule="exact"/>
        <w:ind w:firstLine="480"/>
        <w:jc w:val="left"/>
        <w:rPr>
          <w:rFonts w:ascii="仿宋" w:hAnsi="仿宋" w:eastAsia="仿宋" w:cs="仿宋_GB2312"/>
          <w:color w:val="auto"/>
          <w:sz w:val="32"/>
          <w:szCs w:val="32"/>
          <w:highlight w:val="none"/>
        </w:rPr>
      </w:pPr>
    </w:p>
    <w:p w14:paraId="44832BC4">
      <w:pPr>
        <w:spacing w:line="578" w:lineRule="exact"/>
        <w:jc w:val="righ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日期：   年    月    日</w:t>
      </w:r>
    </w:p>
    <w:p w14:paraId="07F1BBAF">
      <w:pPr>
        <w:spacing w:line="578" w:lineRule="exact"/>
        <w:rPr>
          <w:color w:val="auto"/>
          <w:sz w:val="32"/>
          <w:szCs w:val="32"/>
          <w:highlight w:val="none"/>
        </w:rPr>
      </w:pPr>
    </w:p>
    <w:p w14:paraId="734E9E0E">
      <w:pPr>
        <w:spacing w:line="578" w:lineRule="exact"/>
        <w:rPr>
          <w:color w:val="auto"/>
          <w:sz w:val="32"/>
          <w:szCs w:val="32"/>
          <w:highlight w:val="none"/>
        </w:rPr>
      </w:pPr>
    </w:p>
    <w:p w14:paraId="0B0957E9">
      <w:pPr>
        <w:spacing w:line="578" w:lineRule="exact"/>
        <w:rPr>
          <w:color w:val="auto"/>
          <w:highlight w:val="none"/>
        </w:rPr>
      </w:pPr>
      <w:r>
        <w:rPr>
          <w:color w:val="auto"/>
          <w:highlight w:val="none"/>
        </w:rPr>
        <w:br w:type="page"/>
      </w:r>
    </w:p>
    <w:p w14:paraId="2F376FEF">
      <w:pPr>
        <w:wordWrap w:val="0"/>
        <w:adjustRightInd w:val="0"/>
        <w:snapToGrid w:val="0"/>
        <w:spacing w:line="578" w:lineRule="exact"/>
        <w:ind w:firstLine="640" w:firstLineChars="200"/>
        <w:jc w:val="right"/>
        <w:rPr>
          <w:rFonts w:ascii="仿宋_GB2312" w:hAnsi="仿宋_GB2312" w:eastAsia="仿宋_GB2312" w:cs="仿宋_GB2312"/>
          <w:color w:val="auto"/>
          <w:sz w:val="32"/>
          <w:szCs w:val="32"/>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2E75924F">
      <w:pPr>
        <w:spacing w:line="578" w:lineRule="exact"/>
        <w:outlineLvl w:val="0"/>
        <w:rPr>
          <w:rFonts w:hint="eastAsia" w:ascii="黑体" w:hAnsi="黑体" w:eastAsia="黑体" w:cs="黑体"/>
          <w:color w:val="auto"/>
          <w:sz w:val="32"/>
          <w:szCs w:val="32"/>
          <w:highlight w:val="none"/>
          <w:lang w:val="en-US" w:eastAsia="zh-CN"/>
        </w:rPr>
      </w:pPr>
      <w:bookmarkStart w:id="48" w:name="_Toc19186"/>
      <w:r>
        <w:rPr>
          <w:rFonts w:hint="eastAsia" w:ascii="黑体" w:hAnsi="黑体" w:eastAsia="黑体" w:cs="黑体"/>
          <w:color w:val="auto"/>
          <w:sz w:val="32"/>
          <w:szCs w:val="32"/>
          <w:highlight w:val="none"/>
        </w:rPr>
        <w:t>附件</w:t>
      </w:r>
      <w:bookmarkEnd w:id="48"/>
      <w:r>
        <w:rPr>
          <w:rFonts w:hint="eastAsia" w:ascii="黑体" w:hAnsi="黑体" w:eastAsia="黑体" w:cs="黑体"/>
          <w:color w:val="auto"/>
          <w:sz w:val="32"/>
          <w:szCs w:val="32"/>
          <w:highlight w:val="none"/>
          <w:lang w:val="en-US" w:eastAsia="zh-CN"/>
        </w:rPr>
        <w:t>4</w:t>
      </w:r>
    </w:p>
    <w:p w14:paraId="4219A68D">
      <w:pPr>
        <w:pStyle w:val="3"/>
        <w:outlineLvl w:val="9"/>
        <w:rPr>
          <w:color w:val="auto"/>
          <w:highlight w:val="none"/>
          <w:lang w:val="en-US"/>
        </w:rPr>
      </w:pPr>
    </w:p>
    <w:p w14:paraId="10A7CEC3">
      <w:pPr>
        <w:spacing w:line="578" w:lineRule="exact"/>
        <w:ind w:firstLine="723"/>
        <w:jc w:val="center"/>
        <w:outlineLvl w:val="0"/>
        <w:rPr>
          <w:rFonts w:ascii="方正小标宋简体" w:hAnsi="方正小标宋简体" w:eastAsia="方正小标宋简体" w:cs="方正小标宋简体"/>
          <w:color w:val="auto"/>
          <w:sz w:val="44"/>
          <w:szCs w:val="44"/>
          <w:highlight w:val="none"/>
        </w:rPr>
      </w:pPr>
      <w:bookmarkStart w:id="49" w:name="_Toc14352"/>
      <w:bookmarkStart w:id="50" w:name="_Toc20402"/>
      <w:r>
        <w:rPr>
          <w:rFonts w:hint="eastAsia" w:ascii="方正小标宋简体" w:hAnsi="方正小标宋简体" w:eastAsia="方正小标宋简体" w:cs="方正小标宋简体"/>
          <w:color w:val="auto"/>
          <w:sz w:val="44"/>
          <w:szCs w:val="44"/>
          <w:highlight w:val="none"/>
        </w:rPr>
        <w:t>无重大违法记录声明函</w:t>
      </w:r>
      <w:bookmarkEnd w:id="49"/>
      <w:bookmarkEnd w:id="50"/>
    </w:p>
    <w:p w14:paraId="2B6FC96F">
      <w:pPr>
        <w:spacing w:line="578" w:lineRule="exact"/>
        <w:rPr>
          <w:color w:val="auto"/>
          <w:highlight w:val="none"/>
        </w:rPr>
      </w:pPr>
    </w:p>
    <w:p w14:paraId="32C7B6C5">
      <w:p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我单位郑重声明</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近3年（自202</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rPr>
        <w:t>月1日起至本项目响应文件提交截止之日止）</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在经营活动中无以下不良行为记录：没有处于被责令停业、投标资格被取消、财产被接管、冻结、破产状态，在经营活动中没有重大违法记录。</w:t>
      </w:r>
    </w:p>
    <w:p w14:paraId="618C1434">
      <w:pPr>
        <w:pStyle w:val="22"/>
        <w:spacing w:line="578" w:lineRule="exact"/>
        <w:rPr>
          <w:rFonts w:ascii="仿宋" w:hAnsi="仿宋" w:eastAsia="仿宋"/>
          <w:color w:val="auto"/>
          <w:sz w:val="32"/>
          <w:szCs w:val="32"/>
          <w:highlight w:val="none"/>
          <w:lang w:eastAsia="zh-CN"/>
        </w:rPr>
      </w:pPr>
    </w:p>
    <w:p w14:paraId="322B0938">
      <w:pPr>
        <w:pStyle w:val="22"/>
        <w:spacing w:line="578" w:lineRule="exact"/>
        <w:rPr>
          <w:rFonts w:ascii="仿宋" w:hAnsi="仿宋" w:eastAsia="仿宋"/>
          <w:color w:val="auto"/>
          <w:sz w:val="32"/>
          <w:szCs w:val="32"/>
          <w:highlight w:val="none"/>
          <w:lang w:eastAsia="zh-CN"/>
        </w:rPr>
      </w:pPr>
    </w:p>
    <w:p w14:paraId="216BBAC8">
      <w:pPr>
        <w:pStyle w:val="22"/>
        <w:spacing w:line="578" w:lineRule="exact"/>
        <w:rPr>
          <w:rFonts w:ascii="仿宋" w:hAnsi="仿宋" w:eastAsia="仿宋"/>
          <w:color w:val="auto"/>
          <w:sz w:val="32"/>
          <w:szCs w:val="32"/>
          <w:highlight w:val="none"/>
          <w:lang w:eastAsia="zh-CN"/>
        </w:rPr>
      </w:pPr>
    </w:p>
    <w:p w14:paraId="6C16D6DA">
      <w:pPr>
        <w:pStyle w:val="22"/>
        <w:spacing w:line="578" w:lineRule="exact"/>
        <w:rPr>
          <w:rFonts w:ascii="仿宋" w:hAnsi="仿宋" w:eastAsia="仿宋"/>
          <w:color w:val="auto"/>
          <w:sz w:val="32"/>
          <w:szCs w:val="32"/>
          <w:highlight w:val="none"/>
          <w:lang w:eastAsia="zh-CN"/>
        </w:rPr>
      </w:pPr>
    </w:p>
    <w:p w14:paraId="1D67B07A">
      <w:pPr>
        <w:pStyle w:val="22"/>
        <w:spacing w:line="578" w:lineRule="exact"/>
        <w:rPr>
          <w:rFonts w:ascii="仿宋" w:hAnsi="仿宋" w:eastAsia="仿宋"/>
          <w:color w:val="auto"/>
          <w:sz w:val="32"/>
          <w:szCs w:val="32"/>
          <w:highlight w:val="none"/>
          <w:lang w:eastAsia="zh-CN"/>
        </w:rPr>
      </w:pPr>
    </w:p>
    <w:p w14:paraId="392BCB22">
      <w:pPr>
        <w:spacing w:line="578" w:lineRule="exact"/>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rPr>
        <w:t>申请人（盖章）：</w:t>
      </w:r>
      <w:r>
        <w:rPr>
          <w:rFonts w:hint="eastAsia" w:ascii="仿宋" w:hAnsi="仿宋" w:eastAsia="仿宋" w:cs="仿宋_GB2312"/>
          <w:color w:val="auto"/>
          <w:sz w:val="32"/>
          <w:szCs w:val="32"/>
          <w:highlight w:val="none"/>
          <w:u w:val="single"/>
        </w:rPr>
        <w:t xml:space="preserve">                       </w:t>
      </w:r>
    </w:p>
    <w:p w14:paraId="130C53DF">
      <w:pPr>
        <w:spacing w:line="578" w:lineRule="exact"/>
        <w:ind w:firstLine="480"/>
        <w:jc w:val="left"/>
        <w:rPr>
          <w:rFonts w:ascii="仿宋" w:hAnsi="仿宋" w:eastAsia="仿宋" w:cs="仿宋_GB2312"/>
          <w:color w:val="auto"/>
          <w:sz w:val="32"/>
          <w:szCs w:val="32"/>
          <w:highlight w:val="none"/>
        </w:rPr>
      </w:pPr>
    </w:p>
    <w:p w14:paraId="1DC60EA2">
      <w:pPr>
        <w:spacing w:line="578" w:lineRule="exact"/>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lang w:eastAsia="zh-CN"/>
        </w:rPr>
        <w:t>法定代表人</w:t>
      </w:r>
      <w:r>
        <w:rPr>
          <w:rFonts w:hint="eastAsia" w:ascii="仿宋" w:hAnsi="仿宋" w:eastAsia="仿宋" w:cs="仿宋_GB2312"/>
          <w:color w:val="auto"/>
          <w:sz w:val="32"/>
          <w:szCs w:val="32"/>
          <w:highlight w:val="none"/>
        </w:rPr>
        <w:t>或授权委托人（签</w:t>
      </w:r>
      <w:r>
        <w:rPr>
          <w:rFonts w:hint="eastAsia" w:ascii="仿宋_GB2312" w:hAnsi="仿宋_GB2312" w:eastAsia="仿宋_GB2312" w:cs="仿宋_GB2312"/>
          <w:color w:val="auto"/>
          <w:sz w:val="32"/>
          <w:szCs w:val="32"/>
          <w:highlight w:val="none"/>
          <w:lang w:val="en-US" w:eastAsia="zh-CN"/>
        </w:rPr>
        <w:t>章</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 xml:space="preserve"> </w:t>
      </w:r>
    </w:p>
    <w:p w14:paraId="61CAC7C8">
      <w:pPr>
        <w:spacing w:line="578" w:lineRule="exact"/>
        <w:ind w:firstLine="480"/>
        <w:jc w:val="left"/>
        <w:rPr>
          <w:rFonts w:ascii="仿宋" w:hAnsi="仿宋" w:eastAsia="仿宋" w:cs="仿宋_GB2312"/>
          <w:color w:val="auto"/>
          <w:sz w:val="32"/>
          <w:szCs w:val="32"/>
          <w:highlight w:val="none"/>
        </w:rPr>
      </w:pPr>
    </w:p>
    <w:p w14:paraId="0B8609D2">
      <w:pPr>
        <w:spacing w:line="578" w:lineRule="exact"/>
        <w:jc w:val="lef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日期：   年    月    日</w:t>
      </w:r>
    </w:p>
    <w:p w14:paraId="108E1409">
      <w:pPr>
        <w:adjustRightInd w:val="0"/>
        <w:snapToGrid w:val="0"/>
        <w:spacing w:line="578" w:lineRule="exact"/>
        <w:ind w:firstLine="640" w:firstLineChars="200"/>
        <w:rPr>
          <w:rFonts w:ascii="仿宋_GB2312" w:hAnsi="仿宋_GB2312" w:eastAsia="仿宋_GB2312" w:cs="仿宋_GB2312"/>
          <w:color w:val="auto"/>
          <w:sz w:val="32"/>
          <w:szCs w:val="32"/>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7E5400-585D-4E1D-A8B3-D76724491F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4E9D2E92-01E2-423D-A121-D1D306552FE3}"/>
  </w:font>
  <w:font w:name="仿宋">
    <w:panose1 w:val="02010609060101010101"/>
    <w:charset w:val="86"/>
    <w:family w:val="modern"/>
    <w:pitch w:val="default"/>
    <w:sig w:usb0="800002BF" w:usb1="38CF7CFA" w:usb2="00000016" w:usb3="00000000" w:csb0="00040001" w:csb1="00000000"/>
    <w:embedRegular r:id="rId3" w:fontKey="{BF955E3D-315E-4837-86C0-EBECBF7ABF90}"/>
  </w:font>
  <w:font w:name="仿宋_GB2312">
    <w:panose1 w:val="02010609030101010101"/>
    <w:charset w:val="86"/>
    <w:family w:val="modern"/>
    <w:pitch w:val="default"/>
    <w:sig w:usb0="00000001" w:usb1="080E0000" w:usb2="00000000" w:usb3="00000000" w:csb0="00040000" w:csb1="00000000"/>
    <w:embedRegular r:id="rId4" w:fontKey="{D43BE3F2-7372-431D-819C-E814D014F254}"/>
  </w:font>
  <w:font w:name="Segoe UI">
    <w:panose1 w:val="020B0502040204020203"/>
    <w:charset w:val="00"/>
    <w:family w:val="swiss"/>
    <w:pitch w:val="default"/>
    <w:sig w:usb0="E4002EFF" w:usb1="C000E47F" w:usb2="00000009" w:usb3="00000000" w:csb0="200001FF" w:csb1="00000000"/>
    <w:embedRegular r:id="rId5" w:fontKey="{4776D824-37E2-4FA6-876E-4CFB596EAC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7EB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97CD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73956">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C73956">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88C0">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F657A"/>
    <w:multiLevelType w:val="singleLevel"/>
    <w:tmpl w:val="CA4F657A"/>
    <w:lvl w:ilvl="0" w:tentative="0">
      <w:start w:val="3"/>
      <w:numFmt w:val="decimal"/>
      <w:lvlText w:val="%1."/>
      <w:lvlJc w:val="left"/>
      <w:pPr>
        <w:tabs>
          <w:tab w:val="left" w:pos="312"/>
        </w:tabs>
      </w:pPr>
    </w:lvl>
  </w:abstractNum>
  <w:abstractNum w:abstractNumId="1">
    <w:nsid w:val="D344777D"/>
    <w:multiLevelType w:val="singleLevel"/>
    <w:tmpl w:val="D344777D"/>
    <w:lvl w:ilvl="0" w:tentative="0">
      <w:start w:val="2"/>
      <w:numFmt w:val="decimal"/>
      <w:suff w:val="nothing"/>
      <w:lvlText w:val="（%1）"/>
      <w:lvlJc w:val="left"/>
    </w:lvl>
  </w:abstractNum>
  <w:abstractNum w:abstractNumId="2">
    <w:nsid w:val="DCD238D9"/>
    <w:multiLevelType w:val="singleLevel"/>
    <w:tmpl w:val="DCD238D9"/>
    <w:lvl w:ilvl="0" w:tentative="0">
      <w:start w:val="1"/>
      <w:numFmt w:val="decimal"/>
      <w:lvlText w:val="%1."/>
      <w:lvlJc w:val="left"/>
      <w:pPr>
        <w:tabs>
          <w:tab w:val="left" w:pos="312"/>
        </w:tabs>
      </w:pPr>
    </w:lvl>
  </w:abstractNum>
  <w:abstractNum w:abstractNumId="3">
    <w:nsid w:val="DDF060A6"/>
    <w:multiLevelType w:val="singleLevel"/>
    <w:tmpl w:val="DDF060A6"/>
    <w:lvl w:ilvl="0" w:tentative="0">
      <w:start w:val="1"/>
      <w:numFmt w:val="chineseCounting"/>
      <w:suff w:val="nothing"/>
      <w:lvlText w:val="（%1）"/>
      <w:lvlJc w:val="left"/>
      <w:pPr>
        <w:ind w:left="0" w:firstLine="420"/>
      </w:pPr>
      <w:rPr>
        <w:rFonts w:hint="eastAsia"/>
      </w:rPr>
    </w:lvl>
  </w:abstractNum>
  <w:abstractNum w:abstractNumId="4">
    <w:nsid w:val="00EB9C8B"/>
    <w:multiLevelType w:val="singleLevel"/>
    <w:tmpl w:val="00EB9C8B"/>
    <w:lvl w:ilvl="0" w:tentative="0">
      <w:start w:val="1"/>
      <w:numFmt w:val="decimal"/>
      <w:suff w:val="nothing"/>
      <w:lvlText w:val="%1．"/>
      <w:lvlJc w:val="left"/>
      <w:pPr>
        <w:ind w:left="0" w:firstLine="400"/>
      </w:pPr>
      <w:rPr>
        <w:rFonts w:hint="default"/>
      </w:rPr>
    </w:lvl>
  </w:abstractNum>
  <w:abstractNum w:abstractNumId="5">
    <w:nsid w:val="1476BDDF"/>
    <w:multiLevelType w:val="singleLevel"/>
    <w:tmpl w:val="1476BDDF"/>
    <w:lvl w:ilvl="0" w:tentative="0">
      <w:start w:val="1"/>
      <w:numFmt w:val="chineseCounting"/>
      <w:suff w:val="nothing"/>
      <w:lvlText w:val="%1、"/>
      <w:lvlJc w:val="left"/>
      <w:rPr>
        <w:rFonts w:hint="eastAsia"/>
      </w:rPr>
    </w:lvl>
  </w:abstractNum>
  <w:abstractNum w:abstractNumId="6">
    <w:nsid w:val="3E60E08A"/>
    <w:multiLevelType w:val="singleLevel"/>
    <w:tmpl w:val="3E60E08A"/>
    <w:lvl w:ilvl="0" w:tentative="0">
      <w:start w:val="1"/>
      <w:numFmt w:val="chineseCounting"/>
      <w:suff w:val="nothing"/>
      <w:lvlText w:val="（%1）"/>
      <w:lvlJc w:val="left"/>
      <w:pPr>
        <w:ind w:left="0" w:firstLine="420"/>
      </w:pPr>
      <w:rPr>
        <w:rFonts w:hint="eastAsia"/>
      </w:rPr>
    </w:lvl>
  </w:abstractNum>
  <w:abstractNum w:abstractNumId="7">
    <w:nsid w:val="4A4F39BC"/>
    <w:multiLevelType w:val="singleLevel"/>
    <w:tmpl w:val="4A4F39BC"/>
    <w:lvl w:ilvl="0" w:tentative="0">
      <w:start w:val="1"/>
      <w:numFmt w:val="chineseCounting"/>
      <w:suff w:val="nothing"/>
      <w:lvlText w:val="%1、"/>
      <w:lvlJc w:val="left"/>
      <w:rPr>
        <w:rFonts w:hint="eastAsia"/>
      </w:rPr>
    </w:lvl>
  </w:abstractNum>
  <w:abstractNum w:abstractNumId="8">
    <w:nsid w:val="69D721C0"/>
    <w:multiLevelType w:val="singleLevel"/>
    <w:tmpl w:val="69D721C0"/>
    <w:lvl w:ilvl="0" w:tentative="0">
      <w:start w:val="1"/>
      <w:numFmt w:val="chineseCounting"/>
      <w:suff w:val="nothing"/>
      <w:lvlText w:val="（%1）"/>
      <w:lvlJc w:val="left"/>
      <w:pPr>
        <w:ind w:left="0" w:firstLine="420"/>
      </w:pPr>
      <w:rPr>
        <w:rFonts w:hint="eastAsia"/>
      </w:rPr>
    </w:lvl>
  </w:abstractNum>
  <w:abstractNum w:abstractNumId="9">
    <w:nsid w:val="74D89812"/>
    <w:multiLevelType w:val="multilevel"/>
    <w:tmpl w:val="74D89812"/>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74FB0463"/>
    <w:multiLevelType w:val="multilevel"/>
    <w:tmpl w:val="74FB0463"/>
    <w:lvl w:ilvl="0" w:tentative="0">
      <w:start w:val="1"/>
      <w:numFmt w:val="decimal"/>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0"/>
  </w:num>
  <w:num w:numId="2">
    <w:abstractNumId w:val="9"/>
  </w:num>
  <w:num w:numId="3">
    <w:abstractNumId w:val="5"/>
  </w:num>
  <w:num w:numId="4">
    <w:abstractNumId w:val="8"/>
  </w:num>
  <w:num w:numId="5">
    <w:abstractNumId w:val="3"/>
  </w:num>
  <w:num w:numId="6">
    <w:abstractNumId w:val="7"/>
  </w:num>
  <w:num w:numId="7">
    <w:abstractNumId w:val="2"/>
  </w:num>
  <w:num w:numId="8">
    <w:abstractNumId w:val="0"/>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xY2U4MzU0NzI5YTNiNjk0NDUzYjI0MWRkNzhhZGIifQ=="/>
    <w:docVar w:name="KSO_WPS_MARK_KEY" w:val="839936be-7fcb-406d-bb93-0baa4c2029ed"/>
  </w:docVars>
  <w:rsids>
    <w:rsidRoot w:val="010E20DA"/>
    <w:rsid w:val="00194C09"/>
    <w:rsid w:val="005F1428"/>
    <w:rsid w:val="006065F4"/>
    <w:rsid w:val="00636848"/>
    <w:rsid w:val="00787750"/>
    <w:rsid w:val="008324C9"/>
    <w:rsid w:val="0092667C"/>
    <w:rsid w:val="00A8462D"/>
    <w:rsid w:val="00B00BD6"/>
    <w:rsid w:val="00B257FB"/>
    <w:rsid w:val="00CE3554"/>
    <w:rsid w:val="00ED3661"/>
    <w:rsid w:val="010E20DA"/>
    <w:rsid w:val="010E6913"/>
    <w:rsid w:val="01325A8F"/>
    <w:rsid w:val="019A60D7"/>
    <w:rsid w:val="01DC77EE"/>
    <w:rsid w:val="01E61FE3"/>
    <w:rsid w:val="029C6285"/>
    <w:rsid w:val="02B55E04"/>
    <w:rsid w:val="03331193"/>
    <w:rsid w:val="038C575E"/>
    <w:rsid w:val="03A83D63"/>
    <w:rsid w:val="03BF0DB3"/>
    <w:rsid w:val="046A0B31"/>
    <w:rsid w:val="04773CEA"/>
    <w:rsid w:val="04A03E4D"/>
    <w:rsid w:val="04C87066"/>
    <w:rsid w:val="04E8539D"/>
    <w:rsid w:val="0526590B"/>
    <w:rsid w:val="05861948"/>
    <w:rsid w:val="05A609AF"/>
    <w:rsid w:val="05AD3C2E"/>
    <w:rsid w:val="05B250B3"/>
    <w:rsid w:val="05C0796F"/>
    <w:rsid w:val="05FA6CDE"/>
    <w:rsid w:val="05FE28DF"/>
    <w:rsid w:val="06061004"/>
    <w:rsid w:val="061C01E5"/>
    <w:rsid w:val="065B7836"/>
    <w:rsid w:val="067C66F2"/>
    <w:rsid w:val="06A72A7B"/>
    <w:rsid w:val="06DF2215"/>
    <w:rsid w:val="06F97EFA"/>
    <w:rsid w:val="07356860"/>
    <w:rsid w:val="07752464"/>
    <w:rsid w:val="08A47C77"/>
    <w:rsid w:val="08D30F11"/>
    <w:rsid w:val="08D4782D"/>
    <w:rsid w:val="092F4010"/>
    <w:rsid w:val="093D4FB7"/>
    <w:rsid w:val="09467550"/>
    <w:rsid w:val="098470A4"/>
    <w:rsid w:val="099D6761"/>
    <w:rsid w:val="0A310FDA"/>
    <w:rsid w:val="0A5F390E"/>
    <w:rsid w:val="0AD14C34"/>
    <w:rsid w:val="0B161559"/>
    <w:rsid w:val="0B5B67FD"/>
    <w:rsid w:val="0B6574A7"/>
    <w:rsid w:val="0BA856A3"/>
    <w:rsid w:val="0BDE0664"/>
    <w:rsid w:val="0C1D3E05"/>
    <w:rsid w:val="0C762CD4"/>
    <w:rsid w:val="0C814EB1"/>
    <w:rsid w:val="0C86152F"/>
    <w:rsid w:val="0CA5554C"/>
    <w:rsid w:val="0CCF6888"/>
    <w:rsid w:val="0EC83A32"/>
    <w:rsid w:val="0EFF02FE"/>
    <w:rsid w:val="0F460457"/>
    <w:rsid w:val="0F584010"/>
    <w:rsid w:val="0FB55A94"/>
    <w:rsid w:val="101F784D"/>
    <w:rsid w:val="1122186D"/>
    <w:rsid w:val="11643F1C"/>
    <w:rsid w:val="11B37942"/>
    <w:rsid w:val="11C664AC"/>
    <w:rsid w:val="11D42564"/>
    <w:rsid w:val="11E33C5A"/>
    <w:rsid w:val="127811D7"/>
    <w:rsid w:val="13515B86"/>
    <w:rsid w:val="13F067A3"/>
    <w:rsid w:val="14327419"/>
    <w:rsid w:val="143D057B"/>
    <w:rsid w:val="147C31B5"/>
    <w:rsid w:val="149960C6"/>
    <w:rsid w:val="149D21F6"/>
    <w:rsid w:val="14DB4220"/>
    <w:rsid w:val="14EB5C6B"/>
    <w:rsid w:val="14F96FB1"/>
    <w:rsid w:val="150F7625"/>
    <w:rsid w:val="15802E15"/>
    <w:rsid w:val="15C56E32"/>
    <w:rsid w:val="16077093"/>
    <w:rsid w:val="169F699C"/>
    <w:rsid w:val="16D451C7"/>
    <w:rsid w:val="16FC1A94"/>
    <w:rsid w:val="173F41C8"/>
    <w:rsid w:val="17F130D5"/>
    <w:rsid w:val="18A959CE"/>
    <w:rsid w:val="18B41024"/>
    <w:rsid w:val="18CE7DAC"/>
    <w:rsid w:val="18E402E6"/>
    <w:rsid w:val="19084360"/>
    <w:rsid w:val="191F14D4"/>
    <w:rsid w:val="19602C5A"/>
    <w:rsid w:val="19AA2D7C"/>
    <w:rsid w:val="19D10B51"/>
    <w:rsid w:val="19D51086"/>
    <w:rsid w:val="1A5D54D3"/>
    <w:rsid w:val="1A6E76E0"/>
    <w:rsid w:val="1AEE51C6"/>
    <w:rsid w:val="1B435847"/>
    <w:rsid w:val="1B4D553A"/>
    <w:rsid w:val="1B87475B"/>
    <w:rsid w:val="1BB750B7"/>
    <w:rsid w:val="1C450915"/>
    <w:rsid w:val="1C4B6BE5"/>
    <w:rsid w:val="1C7865F4"/>
    <w:rsid w:val="1C7D3C0B"/>
    <w:rsid w:val="1C996187"/>
    <w:rsid w:val="1CB322BB"/>
    <w:rsid w:val="1CE02931"/>
    <w:rsid w:val="1D026B7A"/>
    <w:rsid w:val="1D340FF9"/>
    <w:rsid w:val="1D444728"/>
    <w:rsid w:val="1DDF38B4"/>
    <w:rsid w:val="1DE84876"/>
    <w:rsid w:val="1E43173A"/>
    <w:rsid w:val="1E47547E"/>
    <w:rsid w:val="1E607108"/>
    <w:rsid w:val="1EBC2FC3"/>
    <w:rsid w:val="1EEC4CE2"/>
    <w:rsid w:val="1F2820D4"/>
    <w:rsid w:val="20AC1080"/>
    <w:rsid w:val="211D55FD"/>
    <w:rsid w:val="21665EFE"/>
    <w:rsid w:val="21D0113C"/>
    <w:rsid w:val="21DC13D3"/>
    <w:rsid w:val="21EE1107"/>
    <w:rsid w:val="22592A24"/>
    <w:rsid w:val="234A5215"/>
    <w:rsid w:val="238B2A4B"/>
    <w:rsid w:val="239D38C6"/>
    <w:rsid w:val="23B50DD7"/>
    <w:rsid w:val="23F67FFF"/>
    <w:rsid w:val="241244F6"/>
    <w:rsid w:val="247661B8"/>
    <w:rsid w:val="24AC7783"/>
    <w:rsid w:val="24B26327"/>
    <w:rsid w:val="24CA12B3"/>
    <w:rsid w:val="24D12D46"/>
    <w:rsid w:val="25341526"/>
    <w:rsid w:val="25545A31"/>
    <w:rsid w:val="255539E1"/>
    <w:rsid w:val="25B52667"/>
    <w:rsid w:val="25B867F2"/>
    <w:rsid w:val="25C467F0"/>
    <w:rsid w:val="261D1FBA"/>
    <w:rsid w:val="268A64EC"/>
    <w:rsid w:val="26A14D64"/>
    <w:rsid w:val="270513CC"/>
    <w:rsid w:val="271B474C"/>
    <w:rsid w:val="273A70F8"/>
    <w:rsid w:val="27466F3A"/>
    <w:rsid w:val="278F4829"/>
    <w:rsid w:val="27BA4980"/>
    <w:rsid w:val="27DF0851"/>
    <w:rsid w:val="27FA25B3"/>
    <w:rsid w:val="282D2989"/>
    <w:rsid w:val="286E431E"/>
    <w:rsid w:val="290C4C94"/>
    <w:rsid w:val="298505A2"/>
    <w:rsid w:val="2A262DCA"/>
    <w:rsid w:val="2A9525DE"/>
    <w:rsid w:val="2ABC7FF4"/>
    <w:rsid w:val="2AE41EC1"/>
    <w:rsid w:val="2B3109E2"/>
    <w:rsid w:val="2B713260"/>
    <w:rsid w:val="2B7408CF"/>
    <w:rsid w:val="2B7C00E6"/>
    <w:rsid w:val="2B9E1E2E"/>
    <w:rsid w:val="2BEE68D3"/>
    <w:rsid w:val="2CCA393F"/>
    <w:rsid w:val="2CD5161C"/>
    <w:rsid w:val="2D130259"/>
    <w:rsid w:val="2DE47F8D"/>
    <w:rsid w:val="2E0232A2"/>
    <w:rsid w:val="2E0C1292"/>
    <w:rsid w:val="2E185F8C"/>
    <w:rsid w:val="2E232138"/>
    <w:rsid w:val="2E542DEF"/>
    <w:rsid w:val="2E8B21B7"/>
    <w:rsid w:val="2EA03F79"/>
    <w:rsid w:val="2EB536D8"/>
    <w:rsid w:val="2F0758B9"/>
    <w:rsid w:val="2F3A598B"/>
    <w:rsid w:val="2F4A2072"/>
    <w:rsid w:val="2F9E09F3"/>
    <w:rsid w:val="2FFB0DA3"/>
    <w:rsid w:val="305C7CEA"/>
    <w:rsid w:val="30AE2B11"/>
    <w:rsid w:val="30C2321A"/>
    <w:rsid w:val="30CA33D5"/>
    <w:rsid w:val="30D44363"/>
    <w:rsid w:val="30E66382"/>
    <w:rsid w:val="31863561"/>
    <w:rsid w:val="31BC755F"/>
    <w:rsid w:val="31C854D0"/>
    <w:rsid w:val="323D7C6C"/>
    <w:rsid w:val="32601BAD"/>
    <w:rsid w:val="326534AA"/>
    <w:rsid w:val="32F73B78"/>
    <w:rsid w:val="335135B0"/>
    <w:rsid w:val="337201F6"/>
    <w:rsid w:val="33962EB0"/>
    <w:rsid w:val="339A10EE"/>
    <w:rsid w:val="33CA08AA"/>
    <w:rsid w:val="33E466A1"/>
    <w:rsid w:val="33E62733"/>
    <w:rsid w:val="3444542D"/>
    <w:rsid w:val="34C802C0"/>
    <w:rsid w:val="355257BC"/>
    <w:rsid w:val="360D1B6A"/>
    <w:rsid w:val="36201D7F"/>
    <w:rsid w:val="3678790E"/>
    <w:rsid w:val="368077E8"/>
    <w:rsid w:val="368B2999"/>
    <w:rsid w:val="3701395E"/>
    <w:rsid w:val="372F06AE"/>
    <w:rsid w:val="3736112E"/>
    <w:rsid w:val="37734130"/>
    <w:rsid w:val="38903C62"/>
    <w:rsid w:val="38D155B2"/>
    <w:rsid w:val="397F6DBC"/>
    <w:rsid w:val="39A91A85"/>
    <w:rsid w:val="3A1957AC"/>
    <w:rsid w:val="3AE21327"/>
    <w:rsid w:val="3B2824B1"/>
    <w:rsid w:val="3B417571"/>
    <w:rsid w:val="3B6C3ADB"/>
    <w:rsid w:val="3B8A49B2"/>
    <w:rsid w:val="3BF22009"/>
    <w:rsid w:val="3C033CD5"/>
    <w:rsid w:val="3C631C88"/>
    <w:rsid w:val="3D213332"/>
    <w:rsid w:val="3D26209C"/>
    <w:rsid w:val="3D9F7A2D"/>
    <w:rsid w:val="3E42708C"/>
    <w:rsid w:val="3EA90437"/>
    <w:rsid w:val="3F0062A9"/>
    <w:rsid w:val="3F2C4ACD"/>
    <w:rsid w:val="3F9500F8"/>
    <w:rsid w:val="40BC3218"/>
    <w:rsid w:val="40D02459"/>
    <w:rsid w:val="40D75209"/>
    <w:rsid w:val="411E5D27"/>
    <w:rsid w:val="41990C37"/>
    <w:rsid w:val="41B75188"/>
    <w:rsid w:val="42791CDE"/>
    <w:rsid w:val="42B775C7"/>
    <w:rsid w:val="42DB3BFC"/>
    <w:rsid w:val="43182BB7"/>
    <w:rsid w:val="43770B04"/>
    <w:rsid w:val="437D671A"/>
    <w:rsid w:val="43903069"/>
    <w:rsid w:val="440700DA"/>
    <w:rsid w:val="44157E50"/>
    <w:rsid w:val="441601EA"/>
    <w:rsid w:val="44233B99"/>
    <w:rsid w:val="447E358A"/>
    <w:rsid w:val="44D3240E"/>
    <w:rsid w:val="44DB3E5B"/>
    <w:rsid w:val="44E5468B"/>
    <w:rsid w:val="44F07026"/>
    <w:rsid w:val="45486BFC"/>
    <w:rsid w:val="456501B7"/>
    <w:rsid w:val="45A50107"/>
    <w:rsid w:val="45C6670C"/>
    <w:rsid w:val="45E615FB"/>
    <w:rsid w:val="462674BE"/>
    <w:rsid w:val="462F1B6A"/>
    <w:rsid w:val="469D2F78"/>
    <w:rsid w:val="46A83CD3"/>
    <w:rsid w:val="46B8390E"/>
    <w:rsid w:val="46B84D3B"/>
    <w:rsid w:val="46C91677"/>
    <w:rsid w:val="46E41D4C"/>
    <w:rsid w:val="473467DE"/>
    <w:rsid w:val="47640ADF"/>
    <w:rsid w:val="478255AC"/>
    <w:rsid w:val="48484B71"/>
    <w:rsid w:val="4851035A"/>
    <w:rsid w:val="495A5863"/>
    <w:rsid w:val="49CA0DC2"/>
    <w:rsid w:val="49D8191E"/>
    <w:rsid w:val="49D8786C"/>
    <w:rsid w:val="4AF018C8"/>
    <w:rsid w:val="4BBC631B"/>
    <w:rsid w:val="4C25217C"/>
    <w:rsid w:val="4C2757BD"/>
    <w:rsid w:val="4C8E75EA"/>
    <w:rsid w:val="4CBB2F83"/>
    <w:rsid w:val="4CD25492"/>
    <w:rsid w:val="4D5123C6"/>
    <w:rsid w:val="4D814A59"/>
    <w:rsid w:val="4D9F00EC"/>
    <w:rsid w:val="4DF54920"/>
    <w:rsid w:val="4E7E71EB"/>
    <w:rsid w:val="4ED25209"/>
    <w:rsid w:val="4EFB3856"/>
    <w:rsid w:val="4EFE20DA"/>
    <w:rsid w:val="4F4421E2"/>
    <w:rsid w:val="4F915FEC"/>
    <w:rsid w:val="4FA023CA"/>
    <w:rsid w:val="4FA709C3"/>
    <w:rsid w:val="4FC7696F"/>
    <w:rsid w:val="4FDF68CD"/>
    <w:rsid w:val="508A322D"/>
    <w:rsid w:val="50903205"/>
    <w:rsid w:val="50DC04EE"/>
    <w:rsid w:val="51071719"/>
    <w:rsid w:val="515626A1"/>
    <w:rsid w:val="517E430A"/>
    <w:rsid w:val="51BA4347"/>
    <w:rsid w:val="530F6FAB"/>
    <w:rsid w:val="53D56513"/>
    <w:rsid w:val="53E25216"/>
    <w:rsid w:val="53FF4DBC"/>
    <w:rsid w:val="54482775"/>
    <w:rsid w:val="54636E2E"/>
    <w:rsid w:val="55054B6D"/>
    <w:rsid w:val="552E30B8"/>
    <w:rsid w:val="557A53FC"/>
    <w:rsid w:val="559248AA"/>
    <w:rsid w:val="55AA6B17"/>
    <w:rsid w:val="561670DB"/>
    <w:rsid w:val="56706834"/>
    <w:rsid w:val="56A34DC7"/>
    <w:rsid w:val="56D007FF"/>
    <w:rsid w:val="570A5ABF"/>
    <w:rsid w:val="577E726B"/>
    <w:rsid w:val="57886B88"/>
    <w:rsid w:val="578C4726"/>
    <w:rsid w:val="57A25EB7"/>
    <w:rsid w:val="57F251D7"/>
    <w:rsid w:val="58560C62"/>
    <w:rsid w:val="588E631C"/>
    <w:rsid w:val="58A65CBC"/>
    <w:rsid w:val="58DF3299"/>
    <w:rsid w:val="597C5D3F"/>
    <w:rsid w:val="5A05482B"/>
    <w:rsid w:val="5A161C2A"/>
    <w:rsid w:val="5A353546"/>
    <w:rsid w:val="5AB25D4B"/>
    <w:rsid w:val="5AF75339"/>
    <w:rsid w:val="5AF944F6"/>
    <w:rsid w:val="5B2A2F0E"/>
    <w:rsid w:val="5B3B425F"/>
    <w:rsid w:val="5B500161"/>
    <w:rsid w:val="5B623D2B"/>
    <w:rsid w:val="5BC42CE0"/>
    <w:rsid w:val="5C235F76"/>
    <w:rsid w:val="5C9D3DC2"/>
    <w:rsid w:val="5CE0434B"/>
    <w:rsid w:val="5D1C4E8A"/>
    <w:rsid w:val="5D276C9F"/>
    <w:rsid w:val="5D2B606A"/>
    <w:rsid w:val="5D325D70"/>
    <w:rsid w:val="5D867E6A"/>
    <w:rsid w:val="5E014DC5"/>
    <w:rsid w:val="5E4765B4"/>
    <w:rsid w:val="5ED87B48"/>
    <w:rsid w:val="5EE237C6"/>
    <w:rsid w:val="5F104586"/>
    <w:rsid w:val="5F6B37BB"/>
    <w:rsid w:val="5F865A6B"/>
    <w:rsid w:val="5FD274EE"/>
    <w:rsid w:val="6062071A"/>
    <w:rsid w:val="60807D9C"/>
    <w:rsid w:val="60FC5816"/>
    <w:rsid w:val="6131649D"/>
    <w:rsid w:val="61426602"/>
    <w:rsid w:val="61786E15"/>
    <w:rsid w:val="625271B2"/>
    <w:rsid w:val="62646828"/>
    <w:rsid w:val="62857746"/>
    <w:rsid w:val="629A41D2"/>
    <w:rsid w:val="62B14F5E"/>
    <w:rsid w:val="633D2BD8"/>
    <w:rsid w:val="63506F50"/>
    <w:rsid w:val="635C6CCD"/>
    <w:rsid w:val="6468651B"/>
    <w:rsid w:val="646A3EE8"/>
    <w:rsid w:val="64923598"/>
    <w:rsid w:val="650025F4"/>
    <w:rsid w:val="65B71508"/>
    <w:rsid w:val="65F312E0"/>
    <w:rsid w:val="65FE1EF4"/>
    <w:rsid w:val="66554CB2"/>
    <w:rsid w:val="667322A4"/>
    <w:rsid w:val="667512A3"/>
    <w:rsid w:val="668A5502"/>
    <w:rsid w:val="66AC6F82"/>
    <w:rsid w:val="66C919AE"/>
    <w:rsid w:val="66DB2F4A"/>
    <w:rsid w:val="66FA6593"/>
    <w:rsid w:val="6759039D"/>
    <w:rsid w:val="676E3E49"/>
    <w:rsid w:val="67A21D44"/>
    <w:rsid w:val="67EB0BFA"/>
    <w:rsid w:val="6884200E"/>
    <w:rsid w:val="68BA687B"/>
    <w:rsid w:val="69266287"/>
    <w:rsid w:val="69453F13"/>
    <w:rsid w:val="6952484C"/>
    <w:rsid w:val="69786240"/>
    <w:rsid w:val="69E06F59"/>
    <w:rsid w:val="69F220F4"/>
    <w:rsid w:val="69FC50C4"/>
    <w:rsid w:val="6A1C5E06"/>
    <w:rsid w:val="6A3E4C35"/>
    <w:rsid w:val="6A636C96"/>
    <w:rsid w:val="6A750FA2"/>
    <w:rsid w:val="6AA05B7C"/>
    <w:rsid w:val="6AAD2EDA"/>
    <w:rsid w:val="6B617335"/>
    <w:rsid w:val="6B74351B"/>
    <w:rsid w:val="6C017CAC"/>
    <w:rsid w:val="6C3A69EF"/>
    <w:rsid w:val="6C692BA0"/>
    <w:rsid w:val="6C871713"/>
    <w:rsid w:val="6CC572DF"/>
    <w:rsid w:val="6D1A178E"/>
    <w:rsid w:val="6DA50AA8"/>
    <w:rsid w:val="6E3312B1"/>
    <w:rsid w:val="6E5042A8"/>
    <w:rsid w:val="6EA92216"/>
    <w:rsid w:val="6EDF6362"/>
    <w:rsid w:val="6EFB0AD8"/>
    <w:rsid w:val="6F435BBB"/>
    <w:rsid w:val="6F6F084C"/>
    <w:rsid w:val="6F874C24"/>
    <w:rsid w:val="6F970DA9"/>
    <w:rsid w:val="6F9B379B"/>
    <w:rsid w:val="6FFF3D8F"/>
    <w:rsid w:val="70010ACE"/>
    <w:rsid w:val="70365454"/>
    <w:rsid w:val="70766C0E"/>
    <w:rsid w:val="70871AD7"/>
    <w:rsid w:val="70916FBE"/>
    <w:rsid w:val="7094163E"/>
    <w:rsid w:val="70F57389"/>
    <w:rsid w:val="710E170D"/>
    <w:rsid w:val="71426201"/>
    <w:rsid w:val="71645162"/>
    <w:rsid w:val="72004FC5"/>
    <w:rsid w:val="721E46BD"/>
    <w:rsid w:val="7248040E"/>
    <w:rsid w:val="72A454E4"/>
    <w:rsid w:val="736A3236"/>
    <w:rsid w:val="73F07F4A"/>
    <w:rsid w:val="741915E0"/>
    <w:rsid w:val="747E206E"/>
    <w:rsid w:val="75AF1DE1"/>
    <w:rsid w:val="75B16ECE"/>
    <w:rsid w:val="75D80B91"/>
    <w:rsid w:val="76096A41"/>
    <w:rsid w:val="769010F9"/>
    <w:rsid w:val="769A6A08"/>
    <w:rsid w:val="76BC2ADA"/>
    <w:rsid w:val="76E47C83"/>
    <w:rsid w:val="77075720"/>
    <w:rsid w:val="771C636F"/>
    <w:rsid w:val="779437BB"/>
    <w:rsid w:val="78320EC2"/>
    <w:rsid w:val="78DA051D"/>
    <w:rsid w:val="790B1A57"/>
    <w:rsid w:val="790E2D96"/>
    <w:rsid w:val="79714CEC"/>
    <w:rsid w:val="79DE0088"/>
    <w:rsid w:val="79E63D12"/>
    <w:rsid w:val="7A01558E"/>
    <w:rsid w:val="7A1A32EC"/>
    <w:rsid w:val="7A2D4903"/>
    <w:rsid w:val="7A97325F"/>
    <w:rsid w:val="7B07227A"/>
    <w:rsid w:val="7B120A1C"/>
    <w:rsid w:val="7B187EFC"/>
    <w:rsid w:val="7B2745E3"/>
    <w:rsid w:val="7BE1614D"/>
    <w:rsid w:val="7C2017B1"/>
    <w:rsid w:val="7C615187"/>
    <w:rsid w:val="7C887303"/>
    <w:rsid w:val="7D56365D"/>
    <w:rsid w:val="7DEA3B2D"/>
    <w:rsid w:val="7E07273B"/>
    <w:rsid w:val="7E807F12"/>
    <w:rsid w:val="7EC30B4D"/>
    <w:rsid w:val="7F5B3060"/>
    <w:rsid w:val="7FC317DF"/>
    <w:rsid w:val="7FD05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2"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after="160"/>
      <w:contextualSpacing/>
      <w:jc w:val="center"/>
      <w:outlineLvl w:val="0"/>
    </w:pPr>
    <w:rPr>
      <w:rFonts w:ascii="宋体" w:hAnsi="宋体" w:eastAsia="宋体" w:cstheme="majorBidi"/>
      <w:b/>
      <w:bCs/>
      <w:sz w:val="44"/>
      <w:szCs w:val="28"/>
      <w:lang w:val="en-GB" w:eastAsia="zh-CN" w:bidi="ar-SA"/>
    </w:rPr>
  </w:style>
  <w:style w:type="paragraph" w:styleId="3">
    <w:name w:val="heading 2"/>
    <w:basedOn w:val="1"/>
    <w:next w:val="1"/>
    <w:link w:val="21"/>
    <w:semiHidden/>
    <w:unhideWhenUsed/>
    <w:qFormat/>
    <w:uiPriority w:val="9"/>
    <w:pPr>
      <w:spacing w:before="240" w:after="120"/>
      <w:contextualSpacing/>
      <w:outlineLvl w:val="1"/>
    </w:pPr>
    <w:rPr>
      <w:b/>
      <w:color w:val="44546A" w:themeColor="text2"/>
      <w:sz w:val="24"/>
      <w:szCs w:val="26"/>
      <w:lang w:val="en-GB"/>
      <w14:textFill>
        <w14:solidFill>
          <w14:schemeClr w14:val="tx2"/>
        </w14:solidFill>
      </w14:textFill>
    </w:rPr>
  </w:style>
  <w:style w:type="paragraph" w:styleId="4">
    <w:name w:val="heading 3"/>
    <w:basedOn w:val="1"/>
    <w:next w:val="1"/>
    <w:qFormat/>
    <w:uiPriority w:val="0"/>
    <w:pPr>
      <w:keepNext/>
      <w:keepLines/>
      <w:numPr>
        <w:ilvl w:val="2"/>
        <w:numId w:val="1"/>
      </w:numPr>
      <w:spacing w:before="120" w:after="120"/>
      <w:outlineLvl w:val="2"/>
    </w:pPr>
    <w:rPr>
      <w:b/>
      <w:bCs/>
      <w:sz w:val="24"/>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2"/>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Date"/>
    <w:basedOn w:val="1"/>
    <w:next w:val="1"/>
    <w:qFormat/>
    <w:uiPriority w:val="0"/>
    <w:rPr>
      <w:sz w:val="24"/>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12">
    <w:name w:val="footnote text"/>
    <w:basedOn w:val="1"/>
    <w:qFormat/>
    <w:uiPriority w:val="0"/>
    <w:pPr>
      <w:snapToGrid w:val="0"/>
      <w:jc w:val="left"/>
    </w:pPr>
    <w:rPr>
      <w:sz w:val="18"/>
    </w:rPr>
  </w:style>
  <w:style w:type="paragraph" w:styleId="13">
    <w:name w:val="toc 2"/>
    <w:basedOn w:val="3"/>
    <w:next w:val="1"/>
    <w:qFormat/>
    <w:uiPriority w:val="39"/>
    <w:pPr>
      <w:keepNext w:val="0"/>
      <w:keepLines w:val="0"/>
      <w:spacing w:before="0" w:after="0" w:line="240" w:lineRule="auto"/>
      <w:ind w:left="210"/>
      <w:jc w:val="left"/>
      <w:outlineLvl w:val="9"/>
    </w:pPr>
    <w:rPr>
      <w:rFonts w:ascii="Times New Roman" w:hAnsi="Times New Roman"/>
      <w:b w:val="0"/>
      <w:smallCaps/>
      <w:sz w:val="20"/>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ind w:firstLine="420" w:firstLineChars="10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footnote reference"/>
    <w:basedOn w:val="18"/>
    <w:qFormat/>
    <w:uiPriority w:val="0"/>
    <w:rPr>
      <w:vertAlign w:val="superscript"/>
    </w:rPr>
  </w:style>
  <w:style w:type="character" w:customStyle="1" w:styleId="21">
    <w:name w:val="标题 2 字符"/>
    <w:basedOn w:val="18"/>
    <w:link w:val="3"/>
    <w:qFormat/>
    <w:uiPriority w:val="0"/>
    <w:rPr>
      <w:rFonts w:ascii="Calibri Light" w:hAnsi="Calibri Light" w:eastAsia="宋体" w:cs="Times New Roman"/>
      <w:b/>
      <w:bCs/>
      <w:sz w:val="32"/>
      <w:szCs w:val="32"/>
      <w:lang w:eastAsia="en-US"/>
    </w:rPr>
  </w:style>
  <w:style w:type="paragraph" w:customStyle="1" w:styleId="22">
    <w:name w:val="无间隔1"/>
    <w:qFormat/>
    <w:uiPriority w:val="0"/>
    <w:rPr>
      <w:rFonts w:ascii="Times New Roman" w:hAnsi="Times New Roman" w:eastAsia="宋体" w:cs="Times New Roman"/>
      <w:sz w:val="22"/>
      <w:szCs w:val="22"/>
      <w:lang w:val="en-US" w:eastAsia="en-US" w:bidi="en-US"/>
    </w:rPr>
  </w:style>
  <w:style w:type="paragraph" w:styleId="23">
    <w:name w:val="List Paragraph"/>
    <w:basedOn w:val="1"/>
    <w:qFormat/>
    <w:uiPriority w:val="34"/>
    <w:pPr>
      <w:spacing w:after="120"/>
      <w:ind w:left="720"/>
      <w:contextualSpacing/>
    </w:pPr>
  </w:style>
  <w:style w:type="paragraph" w:customStyle="1" w:styleId="24">
    <w:name w:val="普通 (Web)"/>
    <w:basedOn w:val="1"/>
    <w:qFormat/>
    <w:uiPriority w:val="0"/>
    <w:pPr>
      <w:spacing w:before="100" w:beforeAutospacing="1" w:after="100" w:afterAutospacing="1"/>
      <w:jc w:val="left"/>
    </w:pPr>
    <w:rPr>
      <w:rFonts w:ascii="宋体" w:hAnsi="宋体"/>
      <w:kern w:val="0"/>
      <w:sz w:val="24"/>
      <w:szCs w:val="20"/>
    </w:rPr>
  </w:style>
  <w:style w:type="paragraph" w:customStyle="1" w:styleId="25">
    <w:name w:val="p0"/>
    <w:basedOn w:val="1"/>
    <w:qFormat/>
    <w:uiPriority w:val="0"/>
    <w:pPr>
      <w:widowControl/>
    </w:pPr>
    <w:rPr>
      <w:kern w:val="0"/>
      <w:szCs w:val="21"/>
    </w:rPr>
  </w:style>
  <w:style w:type="paragraph" w:customStyle="1" w:styleId="26">
    <w:name w:val="_Style 128"/>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8537</Words>
  <Characters>8868</Characters>
  <Lines>39</Lines>
  <Paragraphs>11</Paragraphs>
  <TotalTime>3</TotalTime>
  <ScaleCrop>false</ScaleCrop>
  <LinksUpToDate>false</LinksUpToDate>
  <CharactersWithSpaces>9275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2025-07-21T10:17:00Z</dcterms:created>
  <dc:creator>LD</dc:creator>
  <cp:lastModifiedBy>dy</cp:lastModifiedBy>
  <cp:lastPrinted>2025-10-30T03:52:00Z</cp:lastPrinted>
  <dcterms:modified xsi:type="dcterms:W3CDTF">2026-05-08T03:03:48Z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FAE88C614A7C4930846B2BB515921C86_13</vt:lpwstr>
  </property>
  <property fmtid="{D5CDD505-2E9C-101B-9397-08002B2CF9AE}" pid="4" name="KSOTemplateDocerSaveRecord">
    <vt:lpwstr>eyJoZGlkIjoiODMyZWY5YzE3MDc0NjU4MDBmMjlkNWI5NDM0YmUxZmYiLCJ1c2VySWQiOiI2MDI3MTIxMjYifQ==</vt:lpwstr>
  </property>
</Properties>
</file>