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海口市金融控股有限公司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审计服务单位邀请比选工作要求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napToGrid w:val="0"/>
        <w:spacing w:line="56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一、项目概况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（一）公司基本情况</w:t>
      </w:r>
    </w:p>
    <w:p>
      <w:pPr>
        <w:adjustRightInd w:val="0"/>
        <w:snapToGrid w:val="0"/>
        <w:spacing w:line="560" w:lineRule="exact"/>
        <w:ind w:firstLine="64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海口市金融控股有限公司成立于2007年1月，公司注册资本23035万元，属海口市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财政局所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属国有独资公司。公司现阶段的业务主要是为中小微企业提供融资担保、典当、小额贷款、基金管理以及商业保理等融资服务，公司下辖6家2级公司（其中2家为壳公司），3家三级子公司，管理基金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支；截至2023年11月30日，纳入合并报告范围内的资产总额为9.8亿元。拟重组合并企业下辖3家二级子公司，3家三级子公司，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项目投资公司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1家；截止2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月3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日，企业资产总额为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亿元。根据年报审计要求，拟就年度审计服务单位进行比选。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（三）项目名称：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海口市金融控股有限公司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2023-2025年度审计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2.市属金融企业清产核资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（三）项目地址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海口市龙华区文华东路9号海口金控大厦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（四）项目性质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与清产核资审计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二、项目审计范围及内容</w:t>
      </w:r>
    </w:p>
    <w:p>
      <w:pPr>
        <w:pStyle w:val="4"/>
        <w:widowControl/>
        <w:snapToGrid w:val="0"/>
        <w:spacing w:beforeAutospacing="0" w:afterAutospacing="0" w:line="560" w:lineRule="exact"/>
        <w:ind w:left="10" w:right="105" w:rightChars="50" w:firstLine="418" w:firstLineChars="13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（一）合并报告范围内审计任务</w:t>
      </w:r>
    </w:p>
    <w:p>
      <w:pPr>
        <w:pStyle w:val="4"/>
        <w:widowControl/>
        <w:snapToGrid w:val="0"/>
        <w:spacing w:beforeAutospacing="0" w:afterAutospacing="0" w:line="560" w:lineRule="exact"/>
        <w:ind w:left="10" w:right="105" w:rightChars="50" w:firstLine="416" w:firstLineChars="13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1.审计年度财务报表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出具审计报告，包括集团合并报表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集团本部及下属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的审计报告。</w:t>
      </w:r>
    </w:p>
    <w:p>
      <w:pPr>
        <w:pStyle w:val="4"/>
        <w:widowControl/>
        <w:snapToGrid w:val="0"/>
        <w:spacing w:beforeAutospacing="0" w:afterAutospacing="0" w:line="560" w:lineRule="exact"/>
        <w:ind w:left="10" w:right="105" w:rightChars="50" w:firstLine="416" w:firstLineChars="13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.根据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市财政局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及上级主管部门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要求，出具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专项审核报告，主要内容：</w:t>
      </w:r>
    </w:p>
    <w:p>
      <w:pPr>
        <w:pStyle w:val="4"/>
        <w:widowControl/>
        <w:snapToGrid w:val="0"/>
        <w:spacing w:beforeAutospacing="0" w:afterAutospacing="0" w:line="560" w:lineRule="exact"/>
        <w:ind w:left="10" w:right="105" w:rightChars="50" w:firstLine="416" w:firstLineChars="13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（1）年度公司负责人经营业绩考核指标完成情况</w:t>
      </w:r>
    </w:p>
    <w:p>
      <w:pPr>
        <w:pStyle w:val="4"/>
        <w:widowControl/>
        <w:numPr>
          <w:ilvl w:val="-1"/>
          <w:numId w:val="0"/>
        </w:numPr>
        <w:snapToGrid w:val="0"/>
        <w:spacing w:beforeAutospacing="0" w:afterAutospacing="0" w:line="560" w:lineRule="exact"/>
        <w:ind w:left="10" w:right="105" w:rightChars="50" w:firstLine="416" w:firstLineChars="13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（2）公司职工工资总额执行情况、企业负责人薪酬发放、履职待遇支出的执行情况</w:t>
      </w:r>
    </w:p>
    <w:p>
      <w:pPr>
        <w:pStyle w:val="4"/>
        <w:widowControl/>
        <w:numPr>
          <w:ilvl w:val="0"/>
          <w:numId w:val="1"/>
        </w:numPr>
        <w:snapToGrid w:val="0"/>
        <w:spacing w:beforeAutospacing="0" w:afterAutospacing="0" w:line="560" w:lineRule="exact"/>
        <w:ind w:left="10" w:right="105" w:rightChars="50" w:firstLine="416" w:firstLineChars="13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公司公务用车费用支出和“三公经费”支出情况</w:t>
      </w:r>
    </w:p>
    <w:p>
      <w:pPr>
        <w:pStyle w:val="4"/>
        <w:widowControl/>
        <w:numPr>
          <w:ilvl w:val="0"/>
          <w:numId w:val="1"/>
        </w:numPr>
        <w:snapToGrid w:val="0"/>
        <w:spacing w:beforeAutospacing="0" w:afterAutospacing="0" w:line="560" w:lineRule="exact"/>
        <w:ind w:left="10" w:right="105" w:rightChars="50" w:firstLine="416" w:firstLineChars="13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其他需要专项审核的事项。</w:t>
      </w:r>
    </w:p>
    <w:p>
      <w:pPr>
        <w:pStyle w:val="4"/>
        <w:widowControl/>
        <w:numPr>
          <w:ilvl w:val="0"/>
          <w:numId w:val="2"/>
        </w:numPr>
        <w:snapToGrid w:val="0"/>
        <w:spacing w:beforeAutospacing="0" w:afterAutospacing="0" w:line="560" w:lineRule="exact"/>
        <w:ind w:left="10" w:right="105" w:rightChars="50" w:firstLine="418" w:firstLineChars="130"/>
        <w:rPr>
          <w:rStyle w:val="7"/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被重组企业清产核资的审计任务</w:t>
      </w:r>
    </w:p>
    <w:p>
      <w:pPr>
        <w:pStyle w:val="4"/>
        <w:widowControl/>
        <w:numPr>
          <w:ilvl w:val="-1"/>
          <w:numId w:val="0"/>
        </w:numPr>
        <w:snapToGrid w:val="0"/>
        <w:spacing w:beforeAutospacing="0" w:afterAutospacing="0" w:line="560" w:lineRule="exact"/>
        <w:ind w:left="0" w:leftChars="0" w:right="105" w:rightChars="5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市委、市政府关于市属金融整合重组的相关</w:t>
      </w:r>
      <w:r>
        <w:rPr>
          <w:rFonts w:hint="eastAsia" w:ascii="仿宋" w:hAnsi="仿宋" w:eastAsia="仿宋" w:cs="仿宋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拟对被</w:t>
      </w:r>
      <w:r>
        <w:rPr>
          <w:rFonts w:hint="eastAsia" w:ascii="仿宋" w:hAnsi="仿宋" w:eastAsia="仿宋" w:cs="仿宋"/>
          <w:sz w:val="32"/>
          <w:szCs w:val="32"/>
        </w:rPr>
        <w:t>合并、重组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进行清产核资工作。中介机构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被合并企业</w:t>
      </w:r>
      <w:r>
        <w:rPr>
          <w:rFonts w:hint="eastAsia" w:ascii="仿宋" w:hAnsi="仿宋" w:eastAsia="仿宋" w:cs="仿宋"/>
          <w:sz w:val="32"/>
          <w:szCs w:val="32"/>
        </w:rPr>
        <w:t>进行专项财务审计和对有关损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</w:t>
      </w:r>
      <w:r>
        <w:rPr>
          <w:rFonts w:hint="eastAsia" w:ascii="仿宋" w:hAnsi="仿宋" w:eastAsia="仿宋" w:cs="仿宋"/>
          <w:sz w:val="32"/>
          <w:szCs w:val="32"/>
        </w:rPr>
        <w:t>提出鉴证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widowControl/>
        <w:numPr>
          <w:ilvl w:val="-1"/>
          <w:numId w:val="0"/>
        </w:numPr>
        <w:snapToGrid w:val="0"/>
        <w:spacing w:beforeAutospacing="0" w:afterAutospacing="0" w:line="560" w:lineRule="exact"/>
        <w:ind w:left="0" w:leftChars="0" w:right="105" w:rightChars="5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清产核资的内容包括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</w:t>
      </w:r>
      <w:r>
        <w:rPr>
          <w:rFonts w:hint="eastAsia" w:ascii="仿宋" w:hAnsi="仿宋" w:eastAsia="仿宋" w:cs="仿宋"/>
          <w:sz w:val="32"/>
          <w:szCs w:val="32"/>
        </w:rPr>
        <w:t>务清理、资产清查、价值重估、损益认定、资金核实等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中介机构根据企业清产核资的结果，出具清产核资专项财务审计告并编制清产核资后的企业会计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sz w:val="32"/>
          <w:szCs w:val="32"/>
        </w:rPr>
        <w:t>表。</w:t>
      </w:r>
    </w:p>
    <w:p>
      <w:pPr>
        <w:pStyle w:val="4"/>
        <w:widowControl/>
        <w:snapToGrid w:val="0"/>
        <w:spacing w:beforeAutospacing="0" w:afterAutospacing="0" w:line="560" w:lineRule="exact"/>
        <w:ind w:left="10" w:right="105" w:rightChars="50" w:firstLine="418" w:firstLineChars="13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Style w:val="7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）合并范围外的审计内容</w:t>
      </w:r>
    </w:p>
    <w:p>
      <w:pPr>
        <w:pStyle w:val="4"/>
        <w:snapToGrid w:val="0"/>
        <w:spacing w:beforeAutospacing="0" w:afterAutospacing="0" w:line="560" w:lineRule="exact"/>
        <w:ind w:left="10" w:firstLine="416" w:firstLineChars="13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1、审计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金控资本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管辖的在管基金年度财务报表和报表附注，分别出具审计报告。</w:t>
      </w:r>
    </w:p>
    <w:p>
      <w:pPr>
        <w:pStyle w:val="4"/>
        <w:snapToGrid w:val="0"/>
        <w:spacing w:beforeAutospacing="0" w:afterAutospacing="0" w:line="560" w:lineRule="exact"/>
        <w:ind w:left="10" w:firstLine="416" w:firstLineChars="13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2、审计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重组合并方企业年度财务报表和报表附注，出具审计报告，包括企业合并报表的审计报告集团本部及其下属企业、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审计报告。</w:t>
      </w:r>
    </w:p>
    <w:p>
      <w:pPr>
        <w:numPr>
          <w:ilvl w:val="255"/>
          <w:numId w:val="0"/>
        </w:num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三、审计工作目标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据《企业会计准则》的相关规定，真实、完整反映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被审计单位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有关交易和事项，提高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被审计单位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会计信息质量、维护股东权益是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审计工作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的必然要求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通过中介机构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审计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验证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被审计单位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的财务报表是否真实、准确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是否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及时地反映了被审计主体的财务状况、经营成果和现金流量，为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公司股东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、债权人和其他利益相关者提供可靠的财务信息。</w:t>
      </w:r>
    </w:p>
    <w:p>
      <w:pPr>
        <w:adjustRightInd w:val="0"/>
        <w:snapToGrid w:val="0"/>
        <w:spacing w:line="560" w:lineRule="exact"/>
        <w:ind w:firstLine="640"/>
        <w:rPr>
          <w:rFonts w:hint="default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效益性专项审计，中标审计机构应合理评估被审计主体的经济效益，包括资源利用情况、成本控制、效率和效益等方面，以提供改进经营管理的建议和意见；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其他特殊事项审计，应在年报审计、效益性审计的基础上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工资总额管理等事项提供数据支持，同时也为企业负责人年度经营业绩考核、绩效薪酬管理提供考核依据。 </w:t>
      </w:r>
    </w:p>
    <w:p>
      <w:pPr>
        <w:pStyle w:val="4"/>
        <w:widowControl/>
        <w:numPr>
          <w:ilvl w:val="-1"/>
          <w:numId w:val="0"/>
        </w:numPr>
        <w:snapToGrid w:val="0"/>
        <w:spacing w:beforeAutospacing="0" w:afterAutospacing="0" w:line="560" w:lineRule="exact"/>
        <w:ind w:left="0" w:leftChars="0" w:right="105" w:rightChars="50" w:firstLine="640" w:firstLineChars="200"/>
        <w:rPr>
          <w:rStyle w:val="7"/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清产核资审计，要求中标</w:t>
      </w:r>
      <w:r>
        <w:rPr>
          <w:rFonts w:hint="eastAsia" w:ascii="仿宋" w:hAnsi="仿宋" w:eastAsia="仿宋" w:cs="仿宋"/>
          <w:sz w:val="32"/>
          <w:szCs w:val="32"/>
        </w:rPr>
        <w:t>机构按照独立、客观、公正的原则，履行必要的审计程序，认真核实企业的各项清产核资材料，并按规定进行实物盘点和账务核对。按照国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有企业有关</w:t>
      </w:r>
      <w:r>
        <w:rPr>
          <w:rFonts w:hint="eastAsia" w:ascii="仿宋" w:hAnsi="仿宋" w:eastAsia="仿宋" w:cs="仿宋"/>
          <w:sz w:val="32"/>
          <w:szCs w:val="32"/>
        </w:rPr>
        <w:t>清产核资政策和有关财务会计制度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有关</w:t>
      </w:r>
      <w:r>
        <w:rPr>
          <w:rFonts w:hint="eastAsia" w:ascii="仿宋" w:hAnsi="仿宋" w:eastAsia="仿宋" w:cs="仿宋"/>
          <w:sz w:val="32"/>
          <w:szCs w:val="32"/>
        </w:rPr>
        <w:t>规定确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认清理损益</w:t>
      </w:r>
      <w:r>
        <w:rPr>
          <w:rFonts w:hint="eastAsia" w:ascii="仿宋" w:hAnsi="仿宋" w:eastAsia="仿宋" w:cs="仿宋"/>
          <w:sz w:val="32"/>
          <w:szCs w:val="32"/>
        </w:rPr>
        <w:t>，在充分调查研究、论证的基础上进行职业推断和合规评判，提出经济鉴证意见，并出具鉴证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报告，为企业并购重组提供决策依据及数据支持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EE396"/>
    <w:multiLevelType w:val="singleLevel"/>
    <w:tmpl w:val="305EE39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93C189"/>
    <w:multiLevelType w:val="singleLevel"/>
    <w:tmpl w:val="7093C189"/>
    <w:lvl w:ilvl="0" w:tentative="0">
      <w:start w:val="3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YWY3NDNhMTZlOGEyOTNjZDI4MzA4YjRhMzA0MWYifQ=="/>
  </w:docVars>
  <w:rsids>
    <w:rsidRoot w:val="5DB24C83"/>
    <w:rsid w:val="00084393"/>
    <w:rsid w:val="000E0009"/>
    <w:rsid w:val="001069E1"/>
    <w:rsid w:val="00215F22"/>
    <w:rsid w:val="003125A4"/>
    <w:rsid w:val="00346C65"/>
    <w:rsid w:val="003B4063"/>
    <w:rsid w:val="00486E9F"/>
    <w:rsid w:val="004A1682"/>
    <w:rsid w:val="005134EA"/>
    <w:rsid w:val="00523A1D"/>
    <w:rsid w:val="00585084"/>
    <w:rsid w:val="00707697"/>
    <w:rsid w:val="007D77A0"/>
    <w:rsid w:val="00856175"/>
    <w:rsid w:val="008E6FB7"/>
    <w:rsid w:val="009A003A"/>
    <w:rsid w:val="009A7605"/>
    <w:rsid w:val="009F5C8A"/>
    <w:rsid w:val="00A12361"/>
    <w:rsid w:val="00A12402"/>
    <w:rsid w:val="00B676F7"/>
    <w:rsid w:val="00C60E17"/>
    <w:rsid w:val="00CD4FDC"/>
    <w:rsid w:val="00D61940"/>
    <w:rsid w:val="00E8454B"/>
    <w:rsid w:val="00EC71E0"/>
    <w:rsid w:val="00F40703"/>
    <w:rsid w:val="00F60CEE"/>
    <w:rsid w:val="00F64B90"/>
    <w:rsid w:val="00FC7D70"/>
    <w:rsid w:val="03D35490"/>
    <w:rsid w:val="12D149BF"/>
    <w:rsid w:val="19037516"/>
    <w:rsid w:val="1C3F7B78"/>
    <w:rsid w:val="1D1E25CC"/>
    <w:rsid w:val="1DED1C28"/>
    <w:rsid w:val="1FAA1D23"/>
    <w:rsid w:val="240E783E"/>
    <w:rsid w:val="2EC333C5"/>
    <w:rsid w:val="42061BFE"/>
    <w:rsid w:val="58346B6C"/>
    <w:rsid w:val="5C2667BC"/>
    <w:rsid w:val="5DB24C83"/>
    <w:rsid w:val="674548F2"/>
    <w:rsid w:val="7D1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8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790</Characters>
  <Lines>6</Lines>
  <Paragraphs>1</Paragraphs>
  <TotalTime>6</TotalTime>
  <ScaleCrop>false</ScaleCrop>
  <LinksUpToDate>false</LinksUpToDate>
  <CharactersWithSpaces>927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2022-12-27T08:38:00Z</dcterms:created>
  <dc:creator>天涯孤旅</dc:creator>
  <cp:lastModifiedBy>李秀芬</cp:lastModifiedBy>
  <cp:lastPrinted>2023-12-29T01:36:00Z</cp:lastPrinted>
  <dcterms:modified xsi:type="dcterms:W3CDTF">2024-01-02T11:33:55Z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1C7839471F8C436F8F3285787F931150_13</vt:lpwstr>
  </property>
</Properties>
</file>